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drawing>
          <wp:inline distB="114300" distT="114300" distL="114300" distR="114300">
            <wp:extent cx="5734050" cy="4966425"/>
            <wp:effectExtent b="0" l="0" r="0" t="0"/>
            <wp:docPr id="1" name="image1.png"/>
            <a:graphic>
              <a:graphicData uri="http://schemas.openxmlformats.org/drawingml/2006/picture">
                <pic:pic>
                  <pic:nvPicPr>
                    <pic:cNvPr id="0" name="image1.png"/>
                    <pic:cNvPicPr preferRelativeResize="0"/>
                  </pic:nvPicPr>
                  <pic:blipFill>
                    <a:blip r:embed="rId6"/>
                    <a:srcRect b="17367" l="0" r="0" t="0"/>
                    <a:stretch>
                      <a:fillRect/>
                    </a:stretch>
                  </pic:blipFill>
                  <pic:spPr>
                    <a:xfrm>
                      <a:off x="0" y="0"/>
                      <a:ext cx="5734050" cy="49664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b w:val="1"/>
        </w:rPr>
      </w:pPr>
      <w:r w:rsidDel="00000000" w:rsidR="00000000" w:rsidRPr="00000000">
        <w:rPr>
          <w:b w:val="1"/>
          <w:rtl w:val="0"/>
        </w:rPr>
        <w:t xml:space="preserve">Page ID: </w:t>
      </w:r>
    </w:p>
    <w:p w:rsidR="00000000" w:rsidDel="00000000" w:rsidP="00000000" w:rsidRDefault="00000000" w:rsidRPr="00000000" w14:paraId="00000003">
      <w:pPr>
        <w:numPr>
          <w:ilvl w:val="0"/>
          <w:numId w:val="3"/>
        </w:numPr>
        <w:ind w:left="720" w:hanging="360"/>
      </w:pPr>
      <w:r w:rsidDel="00000000" w:rsidR="00000000" w:rsidRPr="00000000">
        <w:rPr>
          <w:rtl w:val="0"/>
        </w:rPr>
        <w:t xml:space="preserve">Clinical Managers and Directors</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Text content:</w:t>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Text, key message and key message link required  - (left hand in above)</w:t>
      </w:r>
      <w:r w:rsidDel="00000000" w:rsidR="00000000" w:rsidRPr="00000000">
        <w:rPr>
          <w:rtl w:val="0"/>
        </w:rPr>
      </w:r>
    </w:p>
    <w:p w:rsidR="00000000" w:rsidDel="00000000" w:rsidP="00000000" w:rsidRDefault="00000000" w:rsidRPr="00000000" w14:paraId="00000008">
      <w:pPr>
        <w:numPr>
          <w:ilvl w:val="0"/>
          <w:numId w:val="1"/>
        </w:numPr>
        <w:ind w:left="720" w:hanging="360"/>
      </w:pPr>
      <w:r w:rsidDel="00000000" w:rsidR="00000000" w:rsidRPr="00000000">
        <w:rPr>
          <w:rtl w:val="0"/>
        </w:rPr>
        <w:t xml:space="preserve">Media, tools, support and links - supporting links re Trust R&amp;D team can be localised and any other local resources added</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Visual (non text) content and general layout:</w:t>
      </w:r>
    </w:p>
    <w:p w:rsidR="00000000" w:rsidDel="00000000" w:rsidP="00000000" w:rsidRDefault="00000000" w:rsidRPr="00000000" w14:paraId="0000000B">
      <w:pPr>
        <w:numPr>
          <w:ilvl w:val="0"/>
          <w:numId w:val="4"/>
        </w:numPr>
        <w:ind w:left="720" w:hanging="360"/>
      </w:pPr>
      <w:r w:rsidDel="00000000" w:rsidR="00000000" w:rsidRPr="00000000">
        <w:rPr>
          <w:rtl w:val="0"/>
        </w:rPr>
        <w:t xml:space="preserve">Keep what is in each column above associated in your local layout but do not conflate. Additional local pictures/visuals can be added. </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Navigation:</w:t>
      </w:r>
      <w:r w:rsidDel="00000000" w:rsidR="00000000" w:rsidRPr="00000000">
        <w:rPr>
          <w:rtl w:val="0"/>
        </w:rPr>
        <w:t xml:space="preserve"> </w:t>
      </w:r>
    </w:p>
    <w:p w:rsidR="00000000" w:rsidDel="00000000" w:rsidP="00000000" w:rsidRDefault="00000000" w:rsidRPr="00000000" w14:paraId="0000000E">
      <w:pPr>
        <w:numPr>
          <w:ilvl w:val="0"/>
          <w:numId w:val="2"/>
        </w:numPr>
        <w:ind w:left="720" w:hanging="360"/>
      </w:pPr>
      <w:r w:rsidDel="00000000" w:rsidR="00000000" w:rsidRPr="00000000">
        <w:rPr>
          <w:rtl w:val="0"/>
        </w:rPr>
        <w:t xml:space="preserve">Back navigation is important</w:t>
      </w:r>
    </w:p>
    <w:p w:rsidR="00000000" w:rsidDel="00000000" w:rsidP="00000000" w:rsidRDefault="00000000" w:rsidRPr="00000000" w14:paraId="0000000F">
      <w:pPr>
        <w:ind w:left="720" w:firstLine="0"/>
        <w:rPr/>
      </w:pPr>
      <w:r w:rsidDel="00000000" w:rsidR="00000000" w:rsidRPr="00000000">
        <w:rPr>
          <w:rtl w:val="0"/>
        </w:rPr>
      </w:r>
    </w:p>
    <w:p w:rsidR="00000000" w:rsidDel="00000000" w:rsidP="00000000" w:rsidRDefault="00000000" w:rsidRPr="00000000" w14:paraId="0000001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Text for copying:</w:t>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rPr>
          <w:sz w:val="22"/>
          <w:szCs w:val="22"/>
        </w:rPr>
      </w:pPr>
      <w:r w:rsidDel="00000000" w:rsidR="00000000" w:rsidRPr="00000000">
        <w:rPr>
          <w:i w:val="1"/>
          <w:rtl w:val="0"/>
        </w:rPr>
        <w:t xml:space="preserve">Title: </w:t>
      </w:r>
      <w:r w:rsidDel="00000000" w:rsidR="00000000" w:rsidRPr="00000000">
        <w:rPr>
          <w:rtl w:val="0"/>
        </w:rPr>
        <w:t xml:space="preserve">D</w:t>
      </w:r>
      <w:r w:rsidDel="00000000" w:rsidR="00000000" w:rsidRPr="00000000">
        <w:rPr>
          <w:sz w:val="22"/>
          <w:szCs w:val="22"/>
          <w:rtl w:val="0"/>
        </w:rPr>
        <w:t xml:space="preserve">ivisional/Service level managers/Clinical Directors </w:t>
      </w:r>
    </w:p>
    <w:p w:rsidR="00000000" w:rsidDel="00000000" w:rsidP="00000000" w:rsidRDefault="00000000" w:rsidRPr="00000000" w14:paraId="00000018">
      <w:pPr>
        <w:pStyle w:val="Heading3"/>
        <w:keepNext w:val="0"/>
        <w:keepLines w:val="0"/>
        <w:spacing w:before="280" w:lineRule="auto"/>
        <w:rPr>
          <w:b w:val="1"/>
          <w:color w:val="000000"/>
          <w:sz w:val="22"/>
          <w:szCs w:val="22"/>
        </w:rPr>
      </w:pPr>
      <w:bookmarkStart w:colFirst="0" w:colLast="0" w:name="_rr6n2hqkzd3" w:id="0"/>
      <w:bookmarkEnd w:id="0"/>
      <w:r w:rsidDel="00000000" w:rsidR="00000000" w:rsidRPr="00000000">
        <w:rPr>
          <w:b w:val="1"/>
          <w:color w:val="000000"/>
          <w:sz w:val="22"/>
          <w:szCs w:val="22"/>
          <w:rtl w:val="0"/>
        </w:rPr>
        <w:t xml:space="preserve">Where you can make a difference:</w:t>
      </w:r>
    </w:p>
    <w:p w:rsidR="00000000" w:rsidDel="00000000" w:rsidP="00000000" w:rsidRDefault="00000000" w:rsidRPr="00000000" w14:paraId="00000019">
      <w:pPr>
        <w:pStyle w:val="Heading3"/>
        <w:keepNext w:val="0"/>
        <w:keepLines w:val="0"/>
        <w:spacing w:before="280" w:lineRule="auto"/>
        <w:rPr>
          <w:color w:val="000000"/>
          <w:sz w:val="22"/>
          <w:szCs w:val="22"/>
        </w:rPr>
      </w:pPr>
      <w:bookmarkStart w:colFirst="0" w:colLast="0" w:name="_be8f13l2aw2u" w:id="1"/>
      <w:bookmarkEnd w:id="1"/>
      <w:r w:rsidDel="00000000" w:rsidR="00000000" w:rsidRPr="00000000">
        <w:rPr>
          <w:color w:val="000000"/>
          <w:sz w:val="22"/>
          <w:szCs w:val="22"/>
          <w:rtl w:val="0"/>
        </w:rPr>
        <w:t xml:space="preserve">Ensuring there is a divisional research plan in line with trust strategy. Including research in divisional team reviews and CPD. Encouraging, supporting, and enabling research to happen. </w:t>
      </w:r>
    </w:p>
    <w:p w:rsidR="00000000" w:rsidDel="00000000" w:rsidP="00000000" w:rsidRDefault="00000000" w:rsidRPr="00000000" w14:paraId="0000001A">
      <w:pPr>
        <w:pStyle w:val="Heading3"/>
        <w:keepNext w:val="0"/>
        <w:keepLines w:val="0"/>
        <w:spacing w:before="280" w:lineRule="auto"/>
        <w:rPr>
          <w:color w:val="000000"/>
          <w:sz w:val="22"/>
          <w:szCs w:val="22"/>
        </w:rPr>
      </w:pPr>
      <w:bookmarkStart w:colFirst="0" w:colLast="0" w:name="_f7vb13e2s81t" w:id="2"/>
      <w:bookmarkEnd w:id="2"/>
      <w:r w:rsidDel="00000000" w:rsidR="00000000" w:rsidRPr="00000000">
        <w:rPr>
          <w:color w:val="000000"/>
          <w:sz w:val="22"/>
          <w:szCs w:val="22"/>
          <w:rtl w:val="0"/>
        </w:rPr>
        <w:t xml:space="preserve">Ensuring clinical staff are aware of recruiting studies relevant to their areas of work.  This helps to encourage referrals through to specialist research staff who undertake screening and discuss studies with suitable patients who may be interested in taking part.</w:t>
      </w:r>
    </w:p>
    <w:p w:rsidR="00000000" w:rsidDel="00000000" w:rsidP="00000000" w:rsidRDefault="00000000" w:rsidRPr="00000000" w14:paraId="0000001B">
      <w:pPr>
        <w:spacing w:after="240" w:before="240" w:lineRule="auto"/>
        <w:rPr/>
      </w:pPr>
      <w:r w:rsidDel="00000000" w:rsidR="00000000" w:rsidRPr="00000000">
        <w:rPr>
          <w:rtl w:val="0"/>
        </w:rPr>
      </w:r>
    </w:p>
    <w:p w:rsidR="00000000" w:rsidDel="00000000" w:rsidP="00000000" w:rsidRDefault="00000000" w:rsidRPr="00000000" w14:paraId="0000001C">
      <w:pPr>
        <w:pStyle w:val="Heading3"/>
        <w:keepNext w:val="0"/>
        <w:keepLines w:val="0"/>
        <w:spacing w:before="280" w:lineRule="auto"/>
        <w:rPr>
          <w:color w:val="000000"/>
          <w:sz w:val="22"/>
          <w:szCs w:val="22"/>
        </w:rPr>
      </w:pPr>
      <w:bookmarkStart w:colFirst="0" w:colLast="0" w:name="_sb3x8bu86jan" w:id="3"/>
      <w:bookmarkEnd w:id="3"/>
      <w:r w:rsidDel="00000000" w:rsidR="00000000" w:rsidRPr="00000000">
        <w:rPr>
          <w:b w:val="1"/>
          <w:color w:val="000000"/>
          <w:sz w:val="22"/>
          <w:szCs w:val="22"/>
          <w:rtl w:val="0"/>
        </w:rPr>
        <w:t xml:space="preserve">Your influence is high in:</w:t>
      </w:r>
      <w:r w:rsidDel="00000000" w:rsidR="00000000" w:rsidRPr="00000000">
        <w:rPr>
          <w:color w:val="000000"/>
          <w:sz w:val="22"/>
          <w:szCs w:val="22"/>
          <w:rtl w:val="0"/>
        </w:rPr>
        <w:t xml:space="preserve"> </w:t>
      </w:r>
    </w:p>
    <w:p w:rsidR="00000000" w:rsidDel="00000000" w:rsidP="00000000" w:rsidRDefault="00000000" w:rsidRPr="00000000" w14:paraId="0000001D">
      <w:pPr>
        <w:pStyle w:val="Heading3"/>
        <w:keepNext w:val="0"/>
        <w:keepLines w:val="0"/>
        <w:spacing w:before="280" w:lineRule="auto"/>
        <w:rPr>
          <w:color w:val="000000"/>
          <w:sz w:val="22"/>
          <w:szCs w:val="22"/>
        </w:rPr>
      </w:pPr>
      <w:bookmarkStart w:colFirst="0" w:colLast="0" w:name="_fuw4m0s4q24g" w:id="4"/>
      <w:bookmarkEnd w:id="4"/>
      <w:r w:rsidDel="00000000" w:rsidR="00000000" w:rsidRPr="00000000">
        <w:rPr>
          <w:color w:val="000000"/>
          <w:sz w:val="22"/>
          <w:szCs w:val="22"/>
          <w:rtl w:val="0"/>
        </w:rPr>
        <w:t xml:space="preserve">&gt; supporting recognition that research is an essential component of best patient care in your division. </w:t>
      </w:r>
    </w:p>
    <w:p w:rsidR="00000000" w:rsidDel="00000000" w:rsidP="00000000" w:rsidRDefault="00000000" w:rsidRPr="00000000" w14:paraId="0000001E">
      <w:pPr>
        <w:pStyle w:val="Heading3"/>
        <w:keepNext w:val="0"/>
        <w:keepLines w:val="0"/>
        <w:spacing w:before="280" w:lineRule="auto"/>
        <w:rPr>
          <w:color w:val="000000"/>
          <w:sz w:val="22"/>
          <w:szCs w:val="22"/>
        </w:rPr>
      </w:pPr>
      <w:bookmarkStart w:colFirst="0" w:colLast="0" w:name="_2775hkh1wc82" w:id="5"/>
      <w:bookmarkEnd w:id="5"/>
      <w:r w:rsidDel="00000000" w:rsidR="00000000" w:rsidRPr="00000000">
        <w:rPr>
          <w:color w:val="000000"/>
          <w:sz w:val="22"/>
          <w:szCs w:val="22"/>
          <w:rtl w:val="0"/>
        </w:rPr>
        <w:t xml:space="preserve">&gt; enabling divisional staff to have capacity to support research </w:t>
      </w:r>
    </w:p>
    <w:p w:rsidR="00000000" w:rsidDel="00000000" w:rsidP="00000000" w:rsidRDefault="00000000" w:rsidRPr="00000000" w14:paraId="0000001F">
      <w:pPr>
        <w:pStyle w:val="Heading3"/>
        <w:keepNext w:val="0"/>
        <w:keepLines w:val="0"/>
        <w:spacing w:before="280" w:lineRule="auto"/>
        <w:rPr>
          <w:color w:val="000000"/>
          <w:sz w:val="22"/>
          <w:szCs w:val="22"/>
        </w:rPr>
      </w:pPr>
      <w:bookmarkStart w:colFirst="0" w:colLast="0" w:name="_tgu272eg1dax" w:id="6"/>
      <w:bookmarkEnd w:id="6"/>
      <w:r w:rsidDel="00000000" w:rsidR="00000000" w:rsidRPr="00000000">
        <w:rPr>
          <w:color w:val="000000"/>
          <w:sz w:val="22"/>
          <w:szCs w:val="22"/>
          <w:rtl w:val="0"/>
        </w:rPr>
        <w:t xml:space="preserve">&gt; encouraging a strong evidence based culture in clinical practice</w:t>
      </w:r>
    </w:p>
    <w:p w:rsidR="00000000" w:rsidDel="00000000" w:rsidP="00000000" w:rsidRDefault="00000000" w:rsidRPr="00000000" w14:paraId="00000020">
      <w:pPr>
        <w:spacing w:after="240" w:before="240" w:lineRule="auto"/>
        <w:rPr>
          <w:b w:val="1"/>
        </w:rPr>
      </w:pPr>
      <w:r w:rsidDel="00000000" w:rsidR="00000000" w:rsidRPr="00000000">
        <w:rPr>
          <w:rtl w:val="0"/>
        </w:rPr>
      </w:r>
    </w:p>
    <w:p w:rsidR="00000000" w:rsidDel="00000000" w:rsidP="00000000" w:rsidRDefault="00000000" w:rsidRPr="00000000" w14:paraId="00000021">
      <w:pPr>
        <w:pStyle w:val="Heading2"/>
        <w:keepNext w:val="0"/>
        <w:keepLines w:val="0"/>
        <w:spacing w:after="80" w:lineRule="auto"/>
        <w:rPr>
          <w:sz w:val="22"/>
          <w:szCs w:val="22"/>
        </w:rPr>
      </w:pPr>
      <w:bookmarkStart w:colFirst="0" w:colLast="0" w:name="_mmck68cfbykt" w:id="7"/>
      <w:bookmarkEnd w:id="7"/>
      <w:r w:rsidDel="00000000" w:rsidR="00000000" w:rsidRPr="00000000">
        <w:rPr>
          <w:b w:val="1"/>
          <w:sz w:val="22"/>
          <w:szCs w:val="22"/>
          <w:rtl w:val="0"/>
        </w:rPr>
        <w:t xml:space="preserve">Key message:</w:t>
      </w:r>
      <w:r w:rsidDel="00000000" w:rsidR="00000000" w:rsidRPr="00000000">
        <w:rPr>
          <w:sz w:val="22"/>
          <w:szCs w:val="22"/>
          <w:rtl w:val="0"/>
        </w:rPr>
        <w:t xml:space="preserve"> "Research can help you identify effective and cost efficient treatments, processes and systems." </w:t>
      </w:r>
    </w:p>
    <w:p w:rsidR="00000000" w:rsidDel="00000000" w:rsidP="00000000" w:rsidRDefault="00000000" w:rsidRPr="00000000" w14:paraId="00000022">
      <w:pPr>
        <w:pStyle w:val="Heading3"/>
        <w:keepNext w:val="0"/>
        <w:keepLines w:val="0"/>
        <w:spacing w:before="280" w:lineRule="auto"/>
        <w:rPr>
          <w:color w:val="000000"/>
          <w:sz w:val="22"/>
          <w:szCs w:val="22"/>
        </w:rPr>
      </w:pPr>
      <w:bookmarkStart w:colFirst="0" w:colLast="0" w:name="_wtwu95yfe0ic" w:id="8"/>
      <w:bookmarkEnd w:id="8"/>
      <w:r w:rsidDel="00000000" w:rsidR="00000000" w:rsidRPr="00000000">
        <w:rPr>
          <w:color w:val="000000"/>
          <w:sz w:val="22"/>
          <w:szCs w:val="22"/>
          <w:rtl w:val="0"/>
        </w:rPr>
        <w:t xml:space="preserve">(See all key messages</w:t>
      </w:r>
      <w:hyperlink r:id="rId7">
        <w:r w:rsidDel="00000000" w:rsidR="00000000" w:rsidRPr="00000000">
          <w:rPr>
            <w:color w:val="000000"/>
            <w:sz w:val="22"/>
            <w:szCs w:val="22"/>
            <w:rtl w:val="0"/>
          </w:rPr>
          <w:t xml:space="preserve"> </w:t>
        </w:r>
      </w:hyperlink>
      <w:hyperlink r:id="rId8">
        <w:r w:rsidDel="00000000" w:rsidR="00000000" w:rsidRPr="00000000">
          <w:rPr>
            <w:color w:val="1155cc"/>
            <w:sz w:val="22"/>
            <w:szCs w:val="22"/>
            <w:u w:val="single"/>
            <w:rtl w:val="0"/>
          </w:rPr>
          <w:t xml:space="preserve">here</w:t>
        </w:r>
      </w:hyperlink>
      <w:r w:rsidDel="00000000" w:rsidR="00000000" w:rsidRPr="00000000">
        <w:rPr>
          <w:color w:val="000000"/>
          <w:sz w:val="22"/>
          <w:szCs w:val="22"/>
          <w:rtl w:val="0"/>
        </w:rPr>
        <w:t xml:space="preserve"> ) </w:t>
      </w:r>
    </w:p>
    <w:p w:rsidR="00000000" w:rsidDel="00000000" w:rsidP="00000000" w:rsidRDefault="00000000" w:rsidRPr="00000000" w14:paraId="00000023">
      <w:pPr>
        <w:rPr>
          <w:b w:val="1"/>
          <w:i w:val="1"/>
        </w:rPr>
      </w:pPr>
      <w:r w:rsidDel="00000000" w:rsidR="00000000" w:rsidRPr="00000000">
        <w:rPr>
          <w:rtl w:val="0"/>
        </w:rPr>
      </w:r>
    </w:p>
    <w:p w:rsidR="00000000" w:rsidDel="00000000" w:rsidP="00000000" w:rsidRDefault="00000000" w:rsidRPr="00000000" w14:paraId="00000024">
      <w:pPr>
        <w:rPr>
          <w:b w:val="1"/>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5">
      <w:pPr>
        <w:rPr>
          <w:rFonts w:ascii="Lato" w:cs="Lato" w:eastAsia="Lato" w:hAnsi="Lato"/>
          <w:color w:val="226e93"/>
          <w:sz w:val="38"/>
          <w:szCs w:val="38"/>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b w:val="1"/>
          <w:rtl w:val="0"/>
        </w:rPr>
        <w:t xml:space="preserve">Media, tools, support and links:</w:t>
      </w:r>
    </w:p>
    <w:p w:rsidR="00000000" w:rsidDel="00000000" w:rsidP="00000000" w:rsidRDefault="00000000" w:rsidRPr="00000000" w14:paraId="00000027">
      <w:pPr>
        <w:rPr>
          <w:b w:val="1"/>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Clinical Research is Everyone’s Future: What is Clinical Research? - a 5 minute video based learning tool</w:t>
      </w:r>
    </w:p>
    <w:p w:rsidR="00000000" w:rsidDel="00000000" w:rsidP="00000000" w:rsidRDefault="00000000" w:rsidRPr="00000000" w14:paraId="00000029">
      <w:pPr>
        <w:rPr/>
      </w:pPr>
      <w:r w:rsidDel="00000000" w:rsidR="00000000" w:rsidRPr="00000000">
        <w:rPr>
          <w:rtl w:val="0"/>
        </w:rPr>
        <w:t xml:space="preserve">Link: </w:t>
      </w:r>
      <w:hyperlink r:id="rId9">
        <w:r w:rsidDel="00000000" w:rsidR="00000000" w:rsidRPr="00000000">
          <w:rPr>
            <w:color w:val="1155cc"/>
            <w:u w:val="single"/>
            <w:rtl w:val="0"/>
          </w:rPr>
          <w:t xml:space="preserve">https://vimeo.com/240168616</w:t>
        </w:r>
      </w:hyperlink>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ind w:left="0" w:firstLine="0"/>
        <w:rPr/>
      </w:pPr>
      <w:r w:rsidDel="00000000" w:rsidR="00000000" w:rsidRPr="00000000">
        <w:rPr>
          <w:i w:val="1"/>
          <w:rtl w:val="0"/>
        </w:rPr>
        <w:t xml:space="preserve">Subheading: </w:t>
      </w:r>
      <w:r w:rsidDel="00000000" w:rsidR="00000000" w:rsidRPr="00000000">
        <w:rPr>
          <w:rtl w:val="0"/>
        </w:rPr>
        <w:t xml:space="preserve">Using evidence and applied health research:</w:t>
      </w:r>
    </w:p>
    <w:p w:rsidR="00000000" w:rsidDel="00000000" w:rsidP="00000000" w:rsidRDefault="00000000" w:rsidRPr="00000000" w14:paraId="0000002D">
      <w:pPr>
        <w:ind w:left="0" w:firstLine="0"/>
        <w:rPr/>
      </w:pPr>
      <w:r w:rsidDel="00000000" w:rsidR="00000000" w:rsidRPr="00000000">
        <w:rPr>
          <w:rtl w:val="0"/>
        </w:rPr>
      </w:r>
    </w:p>
    <w:p w:rsidR="00000000" w:rsidDel="00000000" w:rsidP="00000000" w:rsidRDefault="00000000" w:rsidRPr="00000000" w14:paraId="0000002E">
      <w:pPr>
        <w:ind w:left="0" w:firstLine="0"/>
        <w:rPr/>
      </w:pPr>
      <w:r w:rsidDel="00000000" w:rsidR="00000000" w:rsidRPr="00000000">
        <w:rPr>
          <w:rtl w:val="0"/>
        </w:rPr>
        <w:t xml:space="preserve">Your Trust evidence librarian should be able to help, or...</w:t>
      </w:r>
    </w:p>
    <w:p w:rsidR="00000000" w:rsidDel="00000000" w:rsidP="00000000" w:rsidRDefault="00000000" w:rsidRPr="00000000" w14:paraId="0000002F">
      <w:pPr>
        <w:rPr/>
      </w:pPr>
      <w:r w:rsidDel="00000000" w:rsidR="00000000" w:rsidRPr="00000000">
        <w:rPr>
          <w:rtl w:val="0"/>
        </w:rPr>
        <w:t xml:space="preserve">Search for research evidence through the NIHR site</w:t>
      </w:r>
    </w:p>
    <w:p w:rsidR="00000000" w:rsidDel="00000000" w:rsidP="00000000" w:rsidRDefault="00000000" w:rsidRPr="00000000" w14:paraId="00000030">
      <w:pPr>
        <w:rPr/>
      </w:pPr>
      <w:r w:rsidDel="00000000" w:rsidR="00000000" w:rsidRPr="00000000">
        <w:rPr>
          <w:rtl w:val="0"/>
        </w:rPr>
        <w:t xml:space="preserve">Link: </w:t>
      </w:r>
      <w:hyperlink r:id="rId10">
        <w:r w:rsidDel="00000000" w:rsidR="00000000" w:rsidRPr="00000000">
          <w:rPr>
            <w:color w:val="1155cc"/>
            <w:u w:val="single"/>
            <w:rtl w:val="0"/>
          </w:rPr>
          <w:t xml:space="preserve">https://www.nihr.ac.uk/health-and-care-professionals/search-our-evidence.htm</w:t>
        </w:r>
      </w:hyperlink>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Collaborating in Applied Health Research</w:t>
      </w:r>
    </w:p>
    <w:p w:rsidR="00000000" w:rsidDel="00000000" w:rsidP="00000000" w:rsidRDefault="00000000" w:rsidRPr="00000000" w14:paraId="00000033">
      <w:pPr>
        <w:rPr/>
      </w:pPr>
      <w:r w:rsidDel="00000000" w:rsidR="00000000" w:rsidRPr="00000000">
        <w:rPr>
          <w:rtl w:val="0"/>
        </w:rPr>
        <w:t xml:space="preserve">Link:</w:t>
      </w:r>
      <w:hyperlink r:id="rId11">
        <w:r w:rsidDel="00000000" w:rsidR="00000000" w:rsidRPr="00000000">
          <w:rPr>
            <w:color w:val="1155cc"/>
            <w:u w:val="single"/>
            <w:rtl w:val="0"/>
          </w:rPr>
          <w:t xml:space="preserve">https://www.nihr.ac.uk/explore-nihr/support/collaborating-in-applied-health-research.htm</w:t>
        </w:r>
      </w:hyperlink>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ind w:left="0" w:firstLine="0"/>
        <w:rPr/>
      </w:pPr>
      <w:r w:rsidDel="00000000" w:rsidR="00000000" w:rsidRPr="00000000">
        <w:rPr>
          <w:i w:val="1"/>
          <w:rtl w:val="0"/>
        </w:rPr>
        <w:t xml:space="preserve">Subheading: </w:t>
      </w:r>
      <w:r w:rsidDel="00000000" w:rsidR="00000000" w:rsidRPr="00000000">
        <w:rPr>
          <w:rtl w:val="0"/>
        </w:rPr>
        <w:t xml:space="preserve">Supporting Links:</w:t>
      </w:r>
    </w:p>
    <w:p w:rsidR="00000000" w:rsidDel="00000000" w:rsidP="00000000" w:rsidRDefault="00000000" w:rsidRPr="00000000" w14:paraId="00000037">
      <w:pPr>
        <w:ind w:left="720" w:firstLine="0"/>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Working with your Trust R&amp;D Team and NIHR</w:t>
      </w:r>
    </w:p>
    <w:p w:rsidR="00000000" w:rsidDel="00000000" w:rsidP="00000000" w:rsidRDefault="00000000" w:rsidRPr="00000000" w14:paraId="00000039">
      <w:pPr>
        <w:rPr>
          <w:i w:val="1"/>
        </w:rPr>
      </w:pPr>
      <w:r w:rsidDel="00000000" w:rsidR="00000000" w:rsidRPr="00000000">
        <w:rPr>
          <w:rtl w:val="0"/>
        </w:rPr>
        <w:t xml:space="preserve">Link:</w:t>
      </w:r>
      <w:r w:rsidDel="00000000" w:rsidR="00000000" w:rsidRPr="00000000">
        <w:rPr>
          <w:i w:val="1"/>
          <w:rtl w:val="0"/>
        </w:rPr>
        <w:t xml:space="preserve"> Insert link to local R&amp;D team or add guidance link (</w:t>
      </w:r>
      <w:hyperlink r:id="rId12">
        <w:r w:rsidDel="00000000" w:rsidR="00000000" w:rsidRPr="00000000">
          <w:rPr>
            <w:i w:val="1"/>
            <w:color w:val="1155cc"/>
            <w:u w:val="single"/>
            <w:rtl w:val="0"/>
          </w:rPr>
          <w:t xml:space="preserve">https://sites.google.com/nihr.ac.uk/bestpatientcareclinicalresearc/home/working-with-nhs-rd</w:t>
        </w:r>
      </w:hyperlink>
      <w:r w:rsidDel="00000000" w:rsidR="00000000" w:rsidRPr="00000000">
        <w:rPr>
          <w:i w:val="1"/>
          <w:rtl w:val="0"/>
        </w:rPr>
        <w:t xml:space="preserve">)</w:t>
      </w:r>
    </w:p>
    <w:p w:rsidR="00000000" w:rsidDel="00000000" w:rsidP="00000000" w:rsidRDefault="00000000" w:rsidRPr="00000000" w14:paraId="0000003A">
      <w:pPr>
        <w:rPr/>
      </w:pPr>
      <w:r w:rsidDel="00000000" w:rsidR="00000000" w:rsidRPr="00000000">
        <w:rPr>
          <w:rtl w:val="0"/>
        </w:rPr>
        <w:t xml:space="preserve">NIHR</w:t>
      </w:r>
    </w:p>
    <w:p w:rsidR="00000000" w:rsidDel="00000000" w:rsidP="00000000" w:rsidRDefault="00000000" w:rsidRPr="00000000" w14:paraId="0000003B">
      <w:pPr>
        <w:rPr/>
      </w:pPr>
      <w:r w:rsidDel="00000000" w:rsidR="00000000" w:rsidRPr="00000000">
        <w:rPr>
          <w:rtl w:val="0"/>
        </w:rPr>
        <w:t xml:space="preserve">Link: </w:t>
      </w:r>
      <w:hyperlink r:id="rId13">
        <w:r w:rsidDel="00000000" w:rsidR="00000000" w:rsidRPr="00000000">
          <w:rPr>
            <w:color w:val="1155cc"/>
            <w:u w:val="single"/>
            <w:rtl w:val="0"/>
          </w:rPr>
          <w:t xml:space="preserve">https://sites.google.com/nihr.ac.uk/bestpatientcareclinicalresearc/home/how-the-nihr-can-support-your-research</w:t>
        </w:r>
      </w:hyperlink>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Research Design Service - for help with a new study idea</w:t>
      </w:r>
    </w:p>
    <w:p w:rsidR="00000000" w:rsidDel="00000000" w:rsidP="00000000" w:rsidRDefault="00000000" w:rsidRPr="00000000" w14:paraId="0000003E">
      <w:pPr>
        <w:rPr/>
      </w:pPr>
      <w:r w:rsidDel="00000000" w:rsidR="00000000" w:rsidRPr="00000000">
        <w:rPr>
          <w:rtl w:val="0"/>
        </w:rPr>
        <w:t xml:space="preserve">Link: </w:t>
      </w:r>
      <w:hyperlink r:id="rId14">
        <w:r w:rsidDel="00000000" w:rsidR="00000000" w:rsidRPr="00000000">
          <w:rPr>
            <w:color w:val="1155cc"/>
            <w:u w:val="single"/>
            <w:rtl w:val="0"/>
          </w:rPr>
          <w:t xml:space="preserve">https://www.nihr.ac.uk/explore-nihr/support/research-design-service.htm</w:t>
        </w:r>
      </w:hyperlink>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Career development in research - links on the NIHR website</w:t>
      </w:r>
    </w:p>
    <w:p w:rsidR="00000000" w:rsidDel="00000000" w:rsidP="00000000" w:rsidRDefault="00000000" w:rsidRPr="00000000" w14:paraId="00000041">
      <w:pPr>
        <w:rPr/>
      </w:pPr>
      <w:r w:rsidDel="00000000" w:rsidR="00000000" w:rsidRPr="00000000">
        <w:rPr>
          <w:rtl w:val="0"/>
        </w:rPr>
        <w:t xml:space="preserve">Link: </w:t>
      </w:r>
      <w:hyperlink r:id="rId15">
        <w:r w:rsidDel="00000000" w:rsidR="00000000" w:rsidRPr="00000000">
          <w:rPr>
            <w:color w:val="1155cc"/>
            <w:u w:val="single"/>
            <w:rtl w:val="0"/>
          </w:rPr>
          <w:t xml:space="preserve">https://www.nihr.ac.uk/health-and-care-professionals/career-development/</w:t>
        </w:r>
      </w:hyperlink>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Good Clinical Practice - the basics for undertaking research</w:t>
      </w:r>
    </w:p>
    <w:p w:rsidR="00000000" w:rsidDel="00000000" w:rsidP="00000000" w:rsidRDefault="00000000" w:rsidRPr="00000000" w14:paraId="00000044">
      <w:pPr>
        <w:rPr/>
      </w:pPr>
      <w:r w:rsidDel="00000000" w:rsidR="00000000" w:rsidRPr="00000000">
        <w:rPr>
          <w:rtl w:val="0"/>
        </w:rPr>
        <w:t xml:space="preserve">Link: </w:t>
      </w:r>
      <w:hyperlink r:id="rId16">
        <w:r w:rsidDel="00000000" w:rsidR="00000000" w:rsidRPr="00000000">
          <w:rPr>
            <w:color w:val="1155cc"/>
            <w:u w:val="single"/>
            <w:rtl w:val="0"/>
          </w:rPr>
          <w:t xml:space="preserve">https://www.nihr.ac.uk/health-and-care-professionals/learning-and-support/good-clinical-practice.htm</w:t>
        </w:r>
      </w:hyperlink>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sectPr>
      <w:pgSz w:h="16838" w:w="11906" w:orient="portrait"/>
      <w:pgMar w:bottom="1440.0000000000002" w:top="1133.8582677165355"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nihr.ac.uk/explore-nihr/support/collaborating-in-applied-health-research.htm" TargetMode="External"/><Relationship Id="rId10" Type="http://schemas.openxmlformats.org/officeDocument/2006/relationships/hyperlink" Target="https://www.nihr.ac.uk/health-and-care-professionals/search-our-evidence.htm" TargetMode="External"/><Relationship Id="rId13" Type="http://schemas.openxmlformats.org/officeDocument/2006/relationships/hyperlink" Target="https://sites.google.com/nihr.ac.uk/bestpatientcareclinicalresearc/home/how-the-nihr-can-support-your-research" TargetMode="External"/><Relationship Id="rId12" Type="http://schemas.openxmlformats.org/officeDocument/2006/relationships/hyperlink" Target="https://sites.google.com/nihr.ac.uk/bestpatientcareclinicalresearc/home/working-with-nhs-r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vimeo.com/240168616" TargetMode="External"/><Relationship Id="rId15" Type="http://schemas.openxmlformats.org/officeDocument/2006/relationships/hyperlink" Target="https://www.nihr.ac.uk/health-and-care-professionals/career-development/" TargetMode="External"/><Relationship Id="rId14" Type="http://schemas.openxmlformats.org/officeDocument/2006/relationships/hyperlink" Target="https://www.nihr.ac.uk/explore-nihr/support/research-design-service.htm" TargetMode="External"/><Relationship Id="rId16" Type="http://schemas.openxmlformats.org/officeDocument/2006/relationships/hyperlink" Target="https://www.nihr.ac.uk/health-and-care-professionals/learning-and-support/good-clinical-practice.htm"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sites.google.com/s/10Knt1KSQwyUlNqCuCyHUwCiELBc7NKhU/p/1Ry6-v40UnJ2F6IGqvL9qbcf8HfNV0cOF/edit" TargetMode="External"/><Relationship Id="rId8" Type="http://schemas.openxmlformats.org/officeDocument/2006/relationships/hyperlink" Target="https://sites.google.com/s/10Knt1KSQwyUlNqCuCyHUwCiELBc7NKhU/p/1Ry6-v40UnJ2F6IGqvL9qbcf8HfNV0cOF/ed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