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734050" cy="9943238"/>
            <wp:effectExtent b="12700" l="12700" r="12700" t="127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994323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Page ID: </w:t>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Corporate Services - HR, Finance, Information management, IT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Text content:</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Text, key message and key message link required  - (left hand in above)</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Media, tools, support and links - supporting links re Trust R&amp;D team can be localised and any other local resources added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Visual (non text) content and general layout:</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Keep what is in each column above associated in your local layout but do not conflate. Additional local pictures/visuals can be added.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Navigation:</w:t>
      </w: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Back navigation is important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Text for copying:</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Information/Business Intelligence Managers </w:t>
      </w:r>
    </w:p>
    <w:p w:rsidR="00000000" w:rsidDel="00000000" w:rsidP="00000000" w:rsidRDefault="00000000" w:rsidRPr="00000000" w14:paraId="00000017">
      <w:pPr>
        <w:pStyle w:val="Heading3"/>
        <w:keepNext w:val="0"/>
        <w:keepLines w:val="0"/>
        <w:spacing w:before="280" w:lineRule="auto"/>
        <w:rPr>
          <w:b w:val="1"/>
          <w:color w:val="000000"/>
          <w:sz w:val="22"/>
          <w:szCs w:val="22"/>
        </w:rPr>
      </w:pPr>
      <w:bookmarkStart w:colFirst="0" w:colLast="0" w:name="_3l0fgy96kzul" w:id="0"/>
      <w:bookmarkEnd w:id="0"/>
      <w:r w:rsidDel="00000000" w:rsidR="00000000" w:rsidRPr="00000000">
        <w:rPr>
          <w:b w:val="1"/>
          <w:color w:val="000000"/>
          <w:sz w:val="22"/>
          <w:szCs w:val="22"/>
          <w:rtl w:val="0"/>
        </w:rPr>
        <w:t xml:space="preserve">Where you can make a difference:</w:t>
      </w:r>
    </w:p>
    <w:p w:rsidR="00000000" w:rsidDel="00000000" w:rsidP="00000000" w:rsidRDefault="00000000" w:rsidRPr="00000000" w14:paraId="00000018">
      <w:pPr>
        <w:pStyle w:val="Heading3"/>
        <w:keepNext w:val="0"/>
        <w:keepLines w:val="0"/>
        <w:spacing w:before="280" w:lineRule="auto"/>
        <w:rPr>
          <w:color w:val="000000"/>
          <w:sz w:val="22"/>
          <w:szCs w:val="22"/>
        </w:rPr>
      </w:pPr>
      <w:bookmarkStart w:colFirst="0" w:colLast="0" w:name="_irhfqbwfz2ui" w:id="1"/>
      <w:bookmarkEnd w:id="1"/>
      <w:r w:rsidDel="00000000" w:rsidR="00000000" w:rsidRPr="00000000">
        <w:rPr>
          <w:color w:val="000000"/>
          <w:sz w:val="22"/>
          <w:szCs w:val="22"/>
          <w:rtl w:val="0"/>
        </w:rPr>
        <w:t xml:space="preserve">Handling research activity information in ways that support research set up, delivery and general Trust awareness e.g. LPMS.</w:t>
      </w:r>
    </w:p>
    <w:p w:rsidR="00000000" w:rsidDel="00000000" w:rsidP="00000000" w:rsidRDefault="00000000" w:rsidRPr="00000000" w14:paraId="00000019">
      <w:pPr>
        <w:pStyle w:val="Heading3"/>
        <w:keepNext w:val="0"/>
        <w:keepLines w:val="0"/>
        <w:spacing w:before="280" w:lineRule="auto"/>
        <w:rPr>
          <w:b w:val="1"/>
          <w:color w:val="000000"/>
          <w:sz w:val="22"/>
          <w:szCs w:val="22"/>
        </w:rPr>
      </w:pPr>
      <w:bookmarkStart w:colFirst="0" w:colLast="0" w:name="_u9cnt78gy58s" w:id="2"/>
      <w:bookmarkEnd w:id="2"/>
      <w:r w:rsidDel="00000000" w:rsidR="00000000" w:rsidRPr="00000000">
        <w:rPr>
          <w:b w:val="1"/>
          <w:color w:val="000000"/>
          <w:sz w:val="22"/>
          <w:szCs w:val="22"/>
          <w:rtl w:val="0"/>
        </w:rPr>
        <w:t xml:space="preserve">Your influence is high in: </w:t>
      </w:r>
    </w:p>
    <w:p w:rsidR="00000000" w:rsidDel="00000000" w:rsidP="00000000" w:rsidRDefault="00000000" w:rsidRPr="00000000" w14:paraId="0000001A">
      <w:pPr>
        <w:pStyle w:val="Heading3"/>
        <w:keepNext w:val="0"/>
        <w:keepLines w:val="0"/>
        <w:spacing w:before="280" w:lineRule="auto"/>
        <w:rPr>
          <w:color w:val="000000"/>
          <w:sz w:val="22"/>
          <w:szCs w:val="22"/>
        </w:rPr>
      </w:pPr>
      <w:bookmarkStart w:colFirst="0" w:colLast="0" w:name="_q2ttgjuyjmu5" w:id="3"/>
      <w:bookmarkEnd w:id="3"/>
      <w:r w:rsidDel="00000000" w:rsidR="00000000" w:rsidRPr="00000000">
        <w:rPr>
          <w:color w:val="000000"/>
          <w:sz w:val="22"/>
          <w:szCs w:val="22"/>
          <w:rtl w:val="0"/>
        </w:rPr>
        <w:t xml:space="preserve">&gt; ensuring there is appropriate access to information relevant to research functions, research study teams and the R&amp;D team.</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pStyle w:val="Heading2"/>
        <w:keepNext w:val="0"/>
        <w:keepLines w:val="0"/>
        <w:spacing w:after="80" w:lineRule="auto"/>
        <w:rPr>
          <w:b w:val="1"/>
          <w:sz w:val="24"/>
          <w:szCs w:val="24"/>
        </w:rPr>
      </w:pPr>
      <w:bookmarkStart w:colFirst="0" w:colLast="0" w:name="_rsctxvgy3zai" w:id="4"/>
      <w:bookmarkEnd w:id="4"/>
      <w:r w:rsidDel="00000000" w:rsidR="00000000" w:rsidRPr="00000000">
        <w:rPr>
          <w:b w:val="1"/>
          <w:sz w:val="24"/>
          <w:szCs w:val="24"/>
          <w:rtl w:val="0"/>
        </w:rPr>
        <w:t xml:space="preserve">Head of Information Governance </w:t>
      </w:r>
    </w:p>
    <w:p w:rsidR="00000000" w:rsidDel="00000000" w:rsidP="00000000" w:rsidRDefault="00000000" w:rsidRPr="00000000" w14:paraId="0000001D">
      <w:pPr>
        <w:pStyle w:val="Heading3"/>
        <w:keepNext w:val="0"/>
        <w:keepLines w:val="0"/>
        <w:spacing w:before="280" w:lineRule="auto"/>
        <w:rPr>
          <w:b w:val="1"/>
          <w:color w:val="000000"/>
          <w:sz w:val="22"/>
          <w:szCs w:val="22"/>
        </w:rPr>
      </w:pPr>
      <w:bookmarkStart w:colFirst="0" w:colLast="0" w:name="_6vcaf0pa49oa" w:id="5"/>
      <w:bookmarkEnd w:id="5"/>
      <w:r w:rsidDel="00000000" w:rsidR="00000000" w:rsidRPr="00000000">
        <w:rPr>
          <w:b w:val="1"/>
          <w:color w:val="000000"/>
          <w:sz w:val="22"/>
          <w:szCs w:val="22"/>
          <w:rtl w:val="0"/>
        </w:rPr>
        <w:t xml:space="preserve">Where you can make a difference:</w:t>
      </w:r>
    </w:p>
    <w:p w:rsidR="00000000" w:rsidDel="00000000" w:rsidP="00000000" w:rsidRDefault="00000000" w:rsidRPr="00000000" w14:paraId="0000001E">
      <w:pPr>
        <w:pStyle w:val="Heading3"/>
        <w:keepNext w:val="0"/>
        <w:keepLines w:val="0"/>
        <w:spacing w:before="280" w:lineRule="auto"/>
        <w:rPr>
          <w:color w:val="000000"/>
          <w:sz w:val="22"/>
          <w:szCs w:val="22"/>
        </w:rPr>
      </w:pPr>
      <w:bookmarkStart w:colFirst="0" w:colLast="0" w:name="_8lk879vyfofj" w:id="6"/>
      <w:bookmarkEnd w:id="6"/>
      <w:r w:rsidDel="00000000" w:rsidR="00000000" w:rsidRPr="00000000">
        <w:rPr>
          <w:color w:val="000000"/>
          <w:sz w:val="22"/>
          <w:szCs w:val="22"/>
          <w:rtl w:val="0"/>
        </w:rPr>
        <w:t xml:space="preserve">Awareness of information governance issues associated with clinical research (whilst not duplicating what has already been reviewed) is important. You may act as Caldicott Guardian and provide approval where required, or may act as the Trust Data Protection Officer, for example. </w:t>
      </w:r>
    </w:p>
    <w:p w:rsidR="00000000" w:rsidDel="00000000" w:rsidP="00000000" w:rsidRDefault="00000000" w:rsidRPr="00000000" w14:paraId="0000001F">
      <w:pPr>
        <w:pStyle w:val="Heading3"/>
        <w:keepNext w:val="0"/>
        <w:keepLines w:val="0"/>
        <w:spacing w:before="280" w:lineRule="auto"/>
        <w:rPr>
          <w:color w:val="000000"/>
          <w:sz w:val="22"/>
          <w:szCs w:val="22"/>
        </w:rPr>
      </w:pPr>
      <w:bookmarkStart w:colFirst="0" w:colLast="0" w:name="_k1lnzjpnovg2" w:id="7"/>
      <w:bookmarkEnd w:id="7"/>
      <w:r w:rsidDel="00000000" w:rsidR="00000000" w:rsidRPr="00000000">
        <w:rPr>
          <w:color w:val="000000"/>
          <w:sz w:val="22"/>
          <w:szCs w:val="22"/>
          <w:rtl w:val="0"/>
        </w:rPr>
        <w:t xml:space="preserve">N.B Please also note the importance of access to key external information platforms by your Trust's research staff mentioned below  under 'IT Services'.</w:t>
      </w:r>
    </w:p>
    <w:p w:rsidR="00000000" w:rsidDel="00000000" w:rsidP="00000000" w:rsidRDefault="00000000" w:rsidRPr="00000000" w14:paraId="00000020">
      <w:pPr>
        <w:pStyle w:val="Heading3"/>
        <w:keepNext w:val="0"/>
        <w:keepLines w:val="0"/>
        <w:spacing w:before="280" w:lineRule="auto"/>
        <w:rPr>
          <w:b w:val="1"/>
          <w:color w:val="000000"/>
          <w:sz w:val="22"/>
          <w:szCs w:val="22"/>
        </w:rPr>
      </w:pPr>
      <w:bookmarkStart w:colFirst="0" w:colLast="0" w:name="_fogxnqpnqo37" w:id="8"/>
      <w:bookmarkEnd w:id="8"/>
      <w:r w:rsidDel="00000000" w:rsidR="00000000" w:rsidRPr="00000000">
        <w:rPr>
          <w:b w:val="1"/>
          <w:color w:val="000000"/>
          <w:sz w:val="22"/>
          <w:szCs w:val="22"/>
          <w:rtl w:val="0"/>
        </w:rPr>
        <w:t xml:space="preserve">Your influence is high in: </w:t>
      </w:r>
    </w:p>
    <w:p w:rsidR="00000000" w:rsidDel="00000000" w:rsidP="00000000" w:rsidRDefault="00000000" w:rsidRPr="00000000" w14:paraId="00000021">
      <w:pPr>
        <w:pStyle w:val="Heading3"/>
        <w:keepNext w:val="0"/>
        <w:keepLines w:val="0"/>
        <w:spacing w:before="280" w:lineRule="auto"/>
        <w:rPr>
          <w:color w:val="000000"/>
          <w:sz w:val="22"/>
          <w:szCs w:val="22"/>
        </w:rPr>
      </w:pPr>
      <w:bookmarkStart w:colFirst="0" w:colLast="0" w:name="_8upyh52vds41" w:id="9"/>
      <w:bookmarkEnd w:id="9"/>
      <w:r w:rsidDel="00000000" w:rsidR="00000000" w:rsidRPr="00000000">
        <w:rPr>
          <w:color w:val="000000"/>
          <w:sz w:val="22"/>
          <w:szCs w:val="22"/>
          <w:rtl w:val="0"/>
        </w:rPr>
        <w:t xml:space="preserve">&gt; Supporting appropriate and proportionate information governance practice in research studies in line with normal research governance.</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pStyle w:val="Heading2"/>
        <w:keepNext w:val="0"/>
        <w:keepLines w:val="0"/>
        <w:spacing w:after="80" w:lineRule="auto"/>
        <w:rPr>
          <w:b w:val="1"/>
          <w:sz w:val="24"/>
          <w:szCs w:val="24"/>
        </w:rPr>
      </w:pPr>
      <w:bookmarkStart w:colFirst="0" w:colLast="0" w:name="_tkmojlul8obj" w:id="10"/>
      <w:bookmarkEnd w:id="10"/>
      <w:r w:rsidDel="00000000" w:rsidR="00000000" w:rsidRPr="00000000">
        <w:rPr>
          <w:b w:val="1"/>
          <w:sz w:val="24"/>
          <w:szCs w:val="24"/>
          <w:rtl w:val="0"/>
        </w:rPr>
        <w:t xml:space="preserve">Information Technology (IT) Services</w:t>
      </w:r>
    </w:p>
    <w:p w:rsidR="00000000" w:rsidDel="00000000" w:rsidP="00000000" w:rsidRDefault="00000000" w:rsidRPr="00000000" w14:paraId="00000024">
      <w:pPr>
        <w:pStyle w:val="Heading3"/>
        <w:keepNext w:val="0"/>
        <w:keepLines w:val="0"/>
        <w:spacing w:before="280" w:lineRule="auto"/>
        <w:rPr>
          <w:b w:val="1"/>
          <w:color w:val="000000"/>
          <w:sz w:val="22"/>
          <w:szCs w:val="22"/>
        </w:rPr>
      </w:pPr>
      <w:bookmarkStart w:colFirst="0" w:colLast="0" w:name="_xdqzeujy3kip" w:id="11"/>
      <w:bookmarkEnd w:id="11"/>
      <w:r w:rsidDel="00000000" w:rsidR="00000000" w:rsidRPr="00000000">
        <w:rPr>
          <w:b w:val="1"/>
          <w:color w:val="000000"/>
          <w:sz w:val="22"/>
          <w:szCs w:val="22"/>
          <w:rtl w:val="0"/>
        </w:rPr>
        <w:t xml:space="preserve">Where you can make a difference:</w:t>
      </w:r>
    </w:p>
    <w:p w:rsidR="00000000" w:rsidDel="00000000" w:rsidP="00000000" w:rsidRDefault="00000000" w:rsidRPr="00000000" w14:paraId="00000025">
      <w:pPr>
        <w:pStyle w:val="Heading3"/>
        <w:keepNext w:val="0"/>
        <w:keepLines w:val="0"/>
        <w:spacing w:before="280" w:lineRule="auto"/>
        <w:rPr>
          <w:color w:val="000000"/>
          <w:sz w:val="22"/>
          <w:szCs w:val="22"/>
        </w:rPr>
      </w:pPr>
      <w:bookmarkStart w:colFirst="0" w:colLast="0" w:name="_hintbygmvxj9" w:id="12"/>
      <w:bookmarkEnd w:id="12"/>
      <w:r w:rsidDel="00000000" w:rsidR="00000000" w:rsidRPr="00000000">
        <w:rPr>
          <w:color w:val="000000"/>
          <w:sz w:val="22"/>
          <w:szCs w:val="22"/>
          <w:rtl w:val="0"/>
        </w:rPr>
        <w:t xml:space="preserve">Having a ready awareness that to be able to function optimally, research staff in your Trust need access to key external platforms  used by the national research delivery  infrastructure. Typically this will be the  National Institute for Health Research  Hub which is based on a protected Google platform sponsored by the UK Department of Health and Social Care.  Enable access to these functions in order to help ensure legitimate research infrastructure functions are embedded with your trust. </w:t>
      </w:r>
    </w:p>
    <w:p w:rsidR="00000000" w:rsidDel="00000000" w:rsidP="00000000" w:rsidRDefault="00000000" w:rsidRPr="00000000" w14:paraId="00000026">
      <w:pPr>
        <w:pStyle w:val="Heading3"/>
        <w:keepNext w:val="0"/>
        <w:keepLines w:val="0"/>
        <w:spacing w:before="280" w:lineRule="auto"/>
        <w:rPr>
          <w:b w:val="1"/>
          <w:color w:val="000000"/>
          <w:sz w:val="22"/>
          <w:szCs w:val="22"/>
        </w:rPr>
      </w:pPr>
      <w:bookmarkStart w:colFirst="0" w:colLast="0" w:name="_lcqbhrrejaqy" w:id="13"/>
      <w:bookmarkEnd w:id="13"/>
      <w:r w:rsidDel="00000000" w:rsidR="00000000" w:rsidRPr="00000000">
        <w:rPr>
          <w:b w:val="1"/>
          <w:color w:val="000000"/>
          <w:sz w:val="22"/>
          <w:szCs w:val="22"/>
          <w:rtl w:val="0"/>
        </w:rPr>
        <w:t xml:space="preserve">Your influence is high in: </w:t>
      </w:r>
    </w:p>
    <w:p w:rsidR="00000000" w:rsidDel="00000000" w:rsidP="00000000" w:rsidRDefault="00000000" w:rsidRPr="00000000" w14:paraId="00000027">
      <w:pPr>
        <w:pStyle w:val="Heading3"/>
        <w:keepNext w:val="0"/>
        <w:keepLines w:val="0"/>
        <w:spacing w:before="280" w:lineRule="auto"/>
        <w:rPr>
          <w:color w:val="000000"/>
          <w:sz w:val="22"/>
          <w:szCs w:val="22"/>
        </w:rPr>
      </w:pPr>
      <w:bookmarkStart w:colFirst="0" w:colLast="0" w:name="_rj82w52rt0yb" w:id="14"/>
      <w:bookmarkEnd w:id="14"/>
      <w:r w:rsidDel="00000000" w:rsidR="00000000" w:rsidRPr="00000000">
        <w:rPr>
          <w:color w:val="000000"/>
          <w:sz w:val="22"/>
          <w:szCs w:val="22"/>
          <w:rtl w:val="0"/>
        </w:rPr>
        <w:t xml:space="preserve">&gt; Enabling access to national research infrastructure platforms and sites linked in this guide.</w:t>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pStyle w:val="Heading2"/>
        <w:keepNext w:val="0"/>
        <w:keepLines w:val="0"/>
        <w:spacing w:after="80" w:lineRule="auto"/>
        <w:rPr>
          <w:b w:val="1"/>
          <w:sz w:val="24"/>
          <w:szCs w:val="24"/>
        </w:rPr>
      </w:pPr>
      <w:bookmarkStart w:colFirst="0" w:colLast="0" w:name="_63v83qat27ht" w:id="15"/>
      <w:bookmarkEnd w:id="15"/>
      <w:r w:rsidDel="00000000" w:rsidR="00000000" w:rsidRPr="00000000">
        <w:rPr>
          <w:b w:val="1"/>
          <w:sz w:val="24"/>
          <w:szCs w:val="24"/>
          <w:rtl w:val="0"/>
        </w:rPr>
        <w:t xml:space="preserve">Finance Managers </w:t>
      </w:r>
    </w:p>
    <w:p w:rsidR="00000000" w:rsidDel="00000000" w:rsidP="00000000" w:rsidRDefault="00000000" w:rsidRPr="00000000" w14:paraId="0000002A">
      <w:pPr>
        <w:pStyle w:val="Heading3"/>
        <w:keepNext w:val="0"/>
        <w:keepLines w:val="0"/>
        <w:spacing w:before="280" w:lineRule="auto"/>
        <w:rPr>
          <w:b w:val="1"/>
          <w:color w:val="000000"/>
          <w:sz w:val="22"/>
          <w:szCs w:val="22"/>
        </w:rPr>
      </w:pPr>
      <w:bookmarkStart w:colFirst="0" w:colLast="0" w:name="_qhvu8wwu7xge" w:id="16"/>
      <w:bookmarkEnd w:id="16"/>
      <w:r w:rsidDel="00000000" w:rsidR="00000000" w:rsidRPr="00000000">
        <w:rPr>
          <w:b w:val="1"/>
          <w:color w:val="000000"/>
          <w:sz w:val="22"/>
          <w:szCs w:val="22"/>
          <w:rtl w:val="0"/>
        </w:rPr>
        <w:t xml:space="preserve">Where you can make a difference:</w:t>
      </w:r>
    </w:p>
    <w:p w:rsidR="00000000" w:rsidDel="00000000" w:rsidP="00000000" w:rsidRDefault="00000000" w:rsidRPr="00000000" w14:paraId="0000002B">
      <w:pPr>
        <w:pStyle w:val="Heading3"/>
        <w:keepNext w:val="0"/>
        <w:keepLines w:val="0"/>
        <w:spacing w:before="280" w:lineRule="auto"/>
        <w:rPr>
          <w:color w:val="000000"/>
          <w:sz w:val="22"/>
          <w:szCs w:val="22"/>
        </w:rPr>
      </w:pPr>
      <w:bookmarkStart w:colFirst="0" w:colLast="0" w:name="_ytlfh2di2hyt" w:id="17"/>
      <w:bookmarkEnd w:id="17"/>
      <w:r w:rsidDel="00000000" w:rsidR="00000000" w:rsidRPr="00000000">
        <w:rPr>
          <w:color w:val="000000"/>
          <w:sz w:val="22"/>
          <w:szCs w:val="22"/>
          <w:rtl w:val="0"/>
        </w:rPr>
        <w:t xml:space="preserve">Having a ready awareness of the importance of income generation of research and specialised applied research finance processes. </w:t>
      </w:r>
    </w:p>
    <w:p w:rsidR="00000000" w:rsidDel="00000000" w:rsidP="00000000" w:rsidRDefault="00000000" w:rsidRPr="00000000" w14:paraId="0000002C">
      <w:pPr>
        <w:pStyle w:val="Heading3"/>
        <w:keepNext w:val="0"/>
        <w:keepLines w:val="0"/>
        <w:spacing w:before="280" w:lineRule="auto"/>
        <w:rPr>
          <w:b w:val="1"/>
          <w:color w:val="000000"/>
          <w:sz w:val="22"/>
          <w:szCs w:val="22"/>
        </w:rPr>
      </w:pPr>
      <w:bookmarkStart w:colFirst="0" w:colLast="0" w:name="_fi85vunf33c5" w:id="18"/>
      <w:bookmarkEnd w:id="18"/>
      <w:r w:rsidDel="00000000" w:rsidR="00000000" w:rsidRPr="00000000">
        <w:rPr>
          <w:b w:val="1"/>
          <w:color w:val="000000"/>
          <w:sz w:val="22"/>
          <w:szCs w:val="22"/>
          <w:rtl w:val="0"/>
        </w:rPr>
        <w:t xml:space="preserve">Your influence is high in: </w:t>
      </w:r>
    </w:p>
    <w:p w:rsidR="00000000" w:rsidDel="00000000" w:rsidP="00000000" w:rsidRDefault="00000000" w:rsidRPr="00000000" w14:paraId="0000002D">
      <w:pPr>
        <w:pStyle w:val="Heading3"/>
        <w:keepNext w:val="0"/>
        <w:keepLines w:val="0"/>
        <w:spacing w:before="280" w:lineRule="auto"/>
        <w:rPr>
          <w:color w:val="000000"/>
          <w:sz w:val="22"/>
          <w:szCs w:val="22"/>
        </w:rPr>
      </w:pPr>
      <w:bookmarkStart w:colFirst="0" w:colLast="0" w:name="_oa5c2fhxfngo" w:id="19"/>
      <w:bookmarkEnd w:id="19"/>
      <w:r w:rsidDel="00000000" w:rsidR="00000000" w:rsidRPr="00000000">
        <w:rPr>
          <w:color w:val="000000"/>
          <w:sz w:val="22"/>
          <w:szCs w:val="22"/>
          <w:rtl w:val="0"/>
        </w:rPr>
        <w:t xml:space="preserve">&gt; The speed and efficiency of managing the special financial processes involved in setting up new studies for the Trust and the need for close working with the R&amp;D team.</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pStyle w:val="Heading2"/>
        <w:keepNext w:val="0"/>
        <w:keepLines w:val="0"/>
        <w:spacing w:after="80" w:lineRule="auto"/>
        <w:rPr>
          <w:b w:val="1"/>
          <w:sz w:val="24"/>
          <w:szCs w:val="24"/>
        </w:rPr>
      </w:pPr>
      <w:bookmarkStart w:colFirst="0" w:colLast="0" w:name="_9g802d4pbv1i" w:id="20"/>
      <w:bookmarkEnd w:id="20"/>
      <w:r w:rsidDel="00000000" w:rsidR="00000000" w:rsidRPr="00000000">
        <w:rPr>
          <w:b w:val="1"/>
          <w:sz w:val="24"/>
          <w:szCs w:val="24"/>
          <w:rtl w:val="0"/>
        </w:rPr>
        <w:t xml:space="preserve">Human Resources and Workforce Development </w:t>
      </w:r>
    </w:p>
    <w:p w:rsidR="00000000" w:rsidDel="00000000" w:rsidP="00000000" w:rsidRDefault="00000000" w:rsidRPr="00000000" w14:paraId="00000030">
      <w:pPr>
        <w:pStyle w:val="Heading3"/>
        <w:keepNext w:val="0"/>
        <w:keepLines w:val="0"/>
        <w:spacing w:before="280" w:lineRule="auto"/>
        <w:rPr>
          <w:b w:val="1"/>
          <w:color w:val="000000"/>
          <w:sz w:val="22"/>
          <w:szCs w:val="22"/>
        </w:rPr>
      </w:pPr>
      <w:bookmarkStart w:colFirst="0" w:colLast="0" w:name="_mujlryisw7pg" w:id="21"/>
      <w:bookmarkEnd w:id="21"/>
      <w:r w:rsidDel="00000000" w:rsidR="00000000" w:rsidRPr="00000000">
        <w:rPr>
          <w:b w:val="1"/>
          <w:color w:val="000000"/>
          <w:sz w:val="22"/>
          <w:szCs w:val="22"/>
          <w:rtl w:val="0"/>
        </w:rPr>
        <w:t xml:space="preserve">Where you can make a difference:</w:t>
      </w:r>
    </w:p>
    <w:p w:rsidR="00000000" w:rsidDel="00000000" w:rsidP="00000000" w:rsidRDefault="00000000" w:rsidRPr="00000000" w14:paraId="00000031">
      <w:pPr>
        <w:pStyle w:val="Heading3"/>
        <w:keepNext w:val="0"/>
        <w:keepLines w:val="0"/>
        <w:spacing w:before="280" w:lineRule="auto"/>
        <w:rPr>
          <w:color w:val="000000"/>
          <w:sz w:val="22"/>
          <w:szCs w:val="22"/>
        </w:rPr>
      </w:pPr>
      <w:bookmarkStart w:colFirst="0" w:colLast="0" w:name="_99wztq5iwctg" w:id="22"/>
      <w:bookmarkEnd w:id="22"/>
      <w:r w:rsidDel="00000000" w:rsidR="00000000" w:rsidRPr="00000000">
        <w:rPr>
          <w:color w:val="000000"/>
          <w:sz w:val="22"/>
          <w:szCs w:val="22"/>
          <w:rtl w:val="0"/>
        </w:rPr>
        <w:t xml:space="preserve">Awareness that research takes place in the Trust, and importance of its inclusion in induction plans and job descriptions across a wide range of staff. </w:t>
      </w:r>
    </w:p>
    <w:p w:rsidR="00000000" w:rsidDel="00000000" w:rsidP="00000000" w:rsidRDefault="00000000" w:rsidRPr="00000000" w14:paraId="00000032">
      <w:pPr>
        <w:pStyle w:val="Heading3"/>
        <w:keepNext w:val="0"/>
        <w:keepLines w:val="0"/>
        <w:spacing w:before="280" w:lineRule="auto"/>
        <w:rPr>
          <w:b w:val="1"/>
          <w:color w:val="000000"/>
          <w:sz w:val="22"/>
          <w:szCs w:val="22"/>
        </w:rPr>
      </w:pPr>
      <w:bookmarkStart w:colFirst="0" w:colLast="0" w:name="_q4tpt2nze913" w:id="23"/>
      <w:bookmarkEnd w:id="23"/>
      <w:r w:rsidDel="00000000" w:rsidR="00000000" w:rsidRPr="00000000">
        <w:rPr>
          <w:b w:val="1"/>
          <w:color w:val="000000"/>
          <w:sz w:val="22"/>
          <w:szCs w:val="22"/>
          <w:rtl w:val="0"/>
        </w:rPr>
        <w:t xml:space="preserve">Your influence is high in: </w:t>
      </w:r>
    </w:p>
    <w:p w:rsidR="00000000" w:rsidDel="00000000" w:rsidP="00000000" w:rsidRDefault="00000000" w:rsidRPr="00000000" w14:paraId="00000033">
      <w:pPr>
        <w:pStyle w:val="Heading3"/>
        <w:keepNext w:val="0"/>
        <w:keepLines w:val="0"/>
        <w:spacing w:before="280" w:lineRule="auto"/>
        <w:rPr>
          <w:color w:val="000000"/>
          <w:sz w:val="22"/>
          <w:szCs w:val="22"/>
        </w:rPr>
      </w:pPr>
      <w:bookmarkStart w:colFirst="0" w:colLast="0" w:name="_ogtjmn2q3027" w:id="24"/>
      <w:bookmarkEnd w:id="24"/>
      <w:r w:rsidDel="00000000" w:rsidR="00000000" w:rsidRPr="00000000">
        <w:rPr>
          <w:color w:val="000000"/>
          <w:sz w:val="22"/>
          <w:szCs w:val="22"/>
          <w:rtl w:val="0"/>
        </w:rPr>
        <w:t xml:space="preserve">&gt; Retaining and attracting research staff and enabling non Trust research staff  access through the research passport system (check with your R&amp;D Office).</w:t>
      </w:r>
    </w:p>
    <w:p w:rsidR="00000000" w:rsidDel="00000000" w:rsidP="00000000" w:rsidRDefault="00000000" w:rsidRPr="00000000" w14:paraId="00000034">
      <w:pPr>
        <w:pStyle w:val="Heading3"/>
        <w:keepNext w:val="0"/>
        <w:keepLines w:val="0"/>
        <w:spacing w:before="280" w:lineRule="auto"/>
        <w:rPr>
          <w:color w:val="000000"/>
          <w:sz w:val="22"/>
          <w:szCs w:val="22"/>
        </w:rPr>
      </w:pPr>
      <w:bookmarkStart w:colFirst="0" w:colLast="0" w:name="_41yo3lybk9a1" w:id="25"/>
      <w:bookmarkEnd w:id="25"/>
      <w:r w:rsidDel="00000000" w:rsidR="00000000" w:rsidRPr="00000000">
        <w:rPr>
          <w:color w:val="000000"/>
          <w:sz w:val="22"/>
          <w:szCs w:val="22"/>
          <w:rtl w:val="0"/>
        </w:rPr>
        <w:t xml:space="preserve">&gt; Working with the trust to establish a research component into all staff inductions to ensure wide awareness.</w:t>
      </w:r>
    </w:p>
    <w:p w:rsidR="00000000" w:rsidDel="00000000" w:rsidP="00000000" w:rsidRDefault="00000000" w:rsidRPr="00000000" w14:paraId="00000035">
      <w:pPr>
        <w:pStyle w:val="Heading3"/>
        <w:keepNext w:val="0"/>
        <w:keepLines w:val="0"/>
        <w:spacing w:before="280" w:lineRule="auto"/>
        <w:rPr>
          <w:color w:val="000000"/>
          <w:sz w:val="22"/>
          <w:szCs w:val="22"/>
        </w:rPr>
      </w:pPr>
      <w:bookmarkStart w:colFirst="0" w:colLast="0" w:name="_cbm3d97utwuv" w:id="26"/>
      <w:bookmarkEnd w:id="26"/>
      <w:r w:rsidDel="00000000" w:rsidR="00000000" w:rsidRPr="00000000">
        <w:rPr>
          <w:color w:val="000000"/>
          <w:sz w:val="22"/>
          <w:szCs w:val="22"/>
          <w:rtl w:val="0"/>
        </w:rPr>
        <w:t xml:space="preserve">&gt; Giving due consideration to the establishment of research in all new staff job description  </w:t>
      </w:r>
    </w:p>
    <w:p w:rsidR="00000000" w:rsidDel="00000000" w:rsidP="00000000" w:rsidRDefault="00000000" w:rsidRPr="00000000" w14:paraId="00000036">
      <w:pPr>
        <w:spacing w:after="240" w:before="240" w:lineRule="auto"/>
        <w:rPr>
          <w:i w:val="1"/>
        </w:rPr>
      </w:pPr>
      <w:r w:rsidDel="00000000" w:rsidR="00000000" w:rsidRPr="00000000">
        <w:rPr>
          <w:rtl w:val="0"/>
        </w:rPr>
      </w:r>
    </w:p>
    <w:p w:rsidR="00000000" w:rsidDel="00000000" w:rsidP="00000000" w:rsidRDefault="00000000" w:rsidRPr="00000000" w14:paraId="0000003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Media, tools, support and links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Clinical Research is Everyone's Future - a 5 minute video based learning tool</w:t>
      </w:r>
    </w:p>
    <w:p w:rsidR="00000000" w:rsidDel="00000000" w:rsidP="00000000" w:rsidRDefault="00000000" w:rsidRPr="00000000" w14:paraId="0000003E">
      <w:pPr>
        <w:rPr/>
      </w:pPr>
      <w:r w:rsidDel="00000000" w:rsidR="00000000" w:rsidRPr="00000000">
        <w:rPr>
          <w:rtl w:val="0"/>
        </w:rPr>
        <w:t xml:space="preserve">Link:</w:t>
      </w:r>
      <w:hyperlink r:id="rId7">
        <w:r w:rsidDel="00000000" w:rsidR="00000000" w:rsidRPr="00000000">
          <w:rPr>
            <w:color w:val="1155cc"/>
            <w:u w:val="single"/>
            <w:rtl w:val="0"/>
          </w:rPr>
          <w:t xml:space="preserve">https://vimeo.com/240168616</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RAND Europe Report - Enabling NHS staff to contribute to research: reflecting on current practice and informing future opportunities</w:t>
      </w:r>
    </w:p>
    <w:p w:rsidR="00000000" w:rsidDel="00000000" w:rsidP="00000000" w:rsidRDefault="00000000" w:rsidRPr="00000000" w14:paraId="00000041">
      <w:pPr>
        <w:rPr/>
      </w:pPr>
      <w:r w:rsidDel="00000000" w:rsidR="00000000" w:rsidRPr="00000000">
        <w:rPr>
          <w:rtl w:val="0"/>
        </w:rPr>
        <w:t xml:space="preserve">Link: </w:t>
      </w:r>
      <w:hyperlink r:id="rId8">
        <w:r w:rsidDel="00000000" w:rsidR="00000000" w:rsidRPr="00000000">
          <w:rPr>
            <w:color w:val="1155cc"/>
            <w:u w:val="single"/>
            <w:rtl w:val="0"/>
          </w:rPr>
          <w:t xml:space="preserve">https://www.rand.org/randeurope/research/projects/enabling-nhs-staff-to-contribute-to-research.html</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Working with your R&amp;D Team</w:t>
      </w:r>
    </w:p>
    <w:p w:rsidR="00000000" w:rsidDel="00000000" w:rsidP="00000000" w:rsidRDefault="00000000" w:rsidRPr="00000000" w14:paraId="00000044">
      <w:pPr>
        <w:rPr>
          <w:i w:val="1"/>
        </w:rPr>
      </w:pPr>
      <w:r w:rsidDel="00000000" w:rsidR="00000000" w:rsidRPr="00000000">
        <w:rPr>
          <w:rtl w:val="0"/>
        </w:rPr>
        <w:t xml:space="preserve">Link:</w:t>
      </w:r>
      <w:r w:rsidDel="00000000" w:rsidR="00000000" w:rsidRPr="00000000">
        <w:rPr>
          <w:i w:val="1"/>
          <w:rtl w:val="0"/>
        </w:rPr>
        <w:t xml:space="preserve">Insert link to local R&amp;D team or add guidance link (</w:t>
      </w:r>
      <w:hyperlink r:id="rId9">
        <w:r w:rsidDel="00000000" w:rsidR="00000000" w:rsidRPr="00000000">
          <w:rPr>
            <w:i w:val="1"/>
            <w:color w:val="1155cc"/>
            <w:u w:val="single"/>
            <w:rtl w:val="0"/>
          </w:rPr>
          <w:t xml:space="preserve">https://sites.google.com/nihr.ac.uk/bestpatientcareclinicalresearc/home/working-with-nhs-rd</w:t>
        </w:r>
      </w:hyperlink>
      <w:r w:rsidDel="00000000" w:rsidR="00000000" w:rsidRPr="00000000">
        <w:rPr>
          <w:i w:val="1"/>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Working with the NIHR</w:t>
      </w:r>
    </w:p>
    <w:p w:rsidR="00000000" w:rsidDel="00000000" w:rsidP="00000000" w:rsidRDefault="00000000" w:rsidRPr="00000000" w14:paraId="00000048">
      <w:pPr>
        <w:rPr/>
      </w:pPr>
      <w:r w:rsidDel="00000000" w:rsidR="00000000" w:rsidRPr="00000000">
        <w:rPr>
          <w:rtl w:val="0"/>
        </w:rPr>
        <w:t xml:space="preserve">Link:</w:t>
      </w:r>
      <w:hyperlink r:id="rId10">
        <w:r w:rsidDel="00000000" w:rsidR="00000000" w:rsidRPr="00000000">
          <w:rPr>
            <w:color w:val="1155cc"/>
            <w:u w:val="single"/>
            <w:rtl w:val="0"/>
          </w:rPr>
          <w:t xml:space="preserve">https://sites.google.com/nihr.ac.uk/bestpatientcareclinicalresearc/home/how-the-nihr-can-support-your-research</w:t>
        </w:r>
      </w:hyperlink>
      <w:r w:rsidDel="00000000" w:rsidR="00000000" w:rsidRPr="00000000">
        <w:rPr>
          <w:rtl w:val="0"/>
        </w:rPr>
      </w:r>
    </w:p>
    <w:sectPr>
      <w:pgSz w:h="16838" w:w="11906"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ites.google.com/nihr.ac.uk/bestpatientcareclinicalresearc/home/how-the-nihr-can-support-your-research" TargetMode="External"/><Relationship Id="rId9" Type="http://schemas.openxmlformats.org/officeDocument/2006/relationships/hyperlink" Target="https://sites.google.com/nihr.ac.uk/bestpatientcareclinicalresearc/home/working-with-nhs-r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vimeo.com/240168616" TargetMode="External"/><Relationship Id="rId8" Type="http://schemas.openxmlformats.org/officeDocument/2006/relationships/hyperlink" Target="https://www.rand.org/randeurope/research/projects/enabling-nhs-staff-to-contribute-to-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