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1155cc"/>
          <w:sz w:val="26"/>
          <w:szCs w:val="26"/>
          <w:u w:val="single"/>
        </w:rPr>
      </w:pPr>
      <w:bookmarkStart w:colFirst="0" w:colLast="0" w:name="_4hrzjasyzxgv" w:id="0"/>
      <w:bookmarkEnd w:id="0"/>
      <w:r w:rsidDel="00000000" w:rsidR="00000000" w:rsidRPr="00000000">
        <w:rPr>
          <w:b w:val="1"/>
          <w:color w:val="1155cc"/>
          <w:sz w:val="26"/>
          <w:szCs w:val="26"/>
          <w:u w:val="single"/>
        </w:rPr>
        <w:drawing>
          <wp:inline distB="114300" distT="114300" distL="114300" distR="114300">
            <wp:extent cx="5734050" cy="762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&lt;&lt;&lt;UPDATE FROM MOCKUP TO INCLUDE CHAIRS&gt;&gt;&gt;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Page ID: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Trust Executives, Board Members and Senior Managers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 content: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Text, key message and key message link required  - (left hand in above)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Media, tools, support and links - supporting links re Trust R&amp;D team can be localised and any other local resources added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Visual (non text) content and general layout: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Keep what is in each column above associated in your local layout but do not conflate. Additional local pictures/visuals can be added.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Navigation: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Back navigation is important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 for copying: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Trust Chair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you make a difference: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Setting the tone for the organisation that clinical research is integral to best patient care.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influence is high in: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&gt; Ensuring that clinical research activity is reported to the board alongside other clinical performance measures.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&gt; Raising awareness with leaders that evidence shows there is a correlation between level of research activity in Trusts and overall patient outcomes.</w:t>
      </w:r>
    </w:p>
    <w:p w:rsidR="00000000" w:rsidDel="00000000" w:rsidP="00000000" w:rsidRDefault="00000000" w:rsidRPr="00000000" w14:paraId="0000001F">
      <w:pPr>
        <w:rPr>
          <w:b w:val="1"/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Executives 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8hsxqxagicsd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Where you make a difference: 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4angpj739r7p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Ensuring there is a research strategy and plan with impact measures. Progress to be routinely reported by  divisional leads, and R&amp;D and actions recorded.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s1z3yslh6eeu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Your influence is high in: 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lk3cxhr3fqdi" w:id="4"/>
      <w:bookmarkEnd w:id="4"/>
      <w:r w:rsidDel="00000000" w:rsidR="00000000" w:rsidRPr="00000000">
        <w:rPr>
          <w:color w:val="000000"/>
          <w:sz w:val="22"/>
          <w:szCs w:val="22"/>
          <w:rtl w:val="0"/>
        </w:rPr>
        <w:t xml:space="preserve"> inspiring and ensuring support for an embedded and active research culture contributing to patient care in the organisation including at middle management level and across all corporate and clinical teams.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be2dn07azf9g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Key message:</w:t>
      </w:r>
      <w:r w:rsidDel="00000000" w:rsidR="00000000" w:rsidRPr="00000000">
        <w:rPr>
          <w:sz w:val="22"/>
          <w:szCs w:val="22"/>
          <w:rtl w:val="0"/>
        </w:rPr>
        <w:t xml:space="preserve"> Evidence shows that trusts with high levels of clinical research activity have better patient outcomes (e.g. lower mortality rates) 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1w653ookqrxl" w:id="6"/>
      <w:bookmarkEnd w:id="6"/>
      <w:r w:rsidDel="00000000" w:rsidR="00000000" w:rsidRPr="00000000">
        <w:rPr>
          <w:color w:val="000000"/>
          <w:sz w:val="22"/>
          <w:szCs w:val="22"/>
          <w:rtl w:val="0"/>
        </w:rPr>
        <w:t xml:space="preserve">(See all key messages</w:t>
      </w:r>
      <w:hyperlink r:id="rId7">
        <w:r w:rsidDel="00000000" w:rsidR="00000000" w:rsidRPr="00000000">
          <w:rPr>
            <w:color w:val="000000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)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a1jf0rwgusst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Non Executive Board Members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pjsjdxnrr92f" w:id="8"/>
      <w:bookmarkEnd w:id="8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Where you make a difference: 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before="280" w:lineRule="auto"/>
        <w:rPr/>
      </w:pPr>
      <w:bookmarkStart w:colFirst="0" w:colLast="0" w:name="_wc0yx1frtc31" w:id="9"/>
      <w:bookmarkEnd w:id="9"/>
      <w:r w:rsidDel="00000000" w:rsidR="00000000" w:rsidRPr="00000000">
        <w:rPr>
          <w:color w:val="000000"/>
          <w:sz w:val="22"/>
          <w:szCs w:val="22"/>
          <w:rtl w:val="0"/>
        </w:rPr>
        <w:t xml:space="preserve">Making sure the research strategy and plan is reported against by departments at Board meetings and issues followed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influence is high in: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&gt; Highlighting the need for building a strong clinical research culture in your Trust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&gt;  Ensuring systems for reporting research  activity and impact are followed through.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1ug1be1ew08a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Senior Managers 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9xfxxbf7nekf" w:id="11"/>
      <w:bookmarkEnd w:id="1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Where you make a difference: 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poxvhopmm90z" w:id="12"/>
      <w:bookmarkEnd w:id="12"/>
      <w:r w:rsidDel="00000000" w:rsidR="00000000" w:rsidRPr="00000000">
        <w:rPr>
          <w:color w:val="000000"/>
          <w:sz w:val="22"/>
          <w:szCs w:val="22"/>
          <w:rtl w:val="0"/>
        </w:rPr>
        <w:t xml:space="preserve">Having an awareness of research and its importance in the trust. Knowing about the requirements of the trust research strategy and plan and following them up. 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do723g8a2e9s" w:id="13"/>
      <w:bookmarkEnd w:id="1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Your influence: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d78nqxnqupw2" w:id="14"/>
      <w:bookmarkEnd w:id="14"/>
      <w:r w:rsidDel="00000000" w:rsidR="00000000" w:rsidRPr="00000000">
        <w:rPr>
          <w:color w:val="000000"/>
          <w:sz w:val="22"/>
          <w:szCs w:val="22"/>
          <w:rtl w:val="0"/>
        </w:rPr>
        <w:t xml:space="preserve">Your influence can be high in integrating research plans into clinical areas, thus enabling units and teams to have research active capacity.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Media, Tools and supporting links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Clinical Research is Everyone's Future - a 5 minute video based learning tool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Link: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https://vimeo.com/240168616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Evidence for the impact of research on patient care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Link: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https://sites.google.com/nihr.ac.uk/bestpatientcareclinicalresearc/introduction/why-research-is-important/evidence-for-the-impact-of-research-on-patient-care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Key supporter: Director of R&amp;D and R&amp;D team.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Link: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https://sites.google.com/nihr.ac.uk/bestpatientcareclinicalresearc/home/working-with-nhs-rd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Link to summary evidence for research activity and patient outcomes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Link: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RAND Europe - Enabling NHS staff to contribute to research: reflecting on current practice and informing future opportunities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Link: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https://www.rand.org/randeurope/research/projects/enabling-nhs-staff-to-contribute-to-research.html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CQC Well Led Framework (see section W8)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Link: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https://www.cqc.org.uk/sites/default/files/20200115_Trust_wide_well_led_inspection_framework_V7.pdf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NHS Long Term Plan: Research and innovation to drive future outcomes improvement: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Link: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https://www.longtermplan.nhs.uk/online-version/chapter-3-further-progress-on-care-quality-and-outcomes/better-care-for-major-health-conditions/research-and-innovation-to-drive-future-outcomes-improvement/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nihr.ac.uk/bestpatientcareclinicalresearc/home/working-with-nhs-rd" TargetMode="External"/><Relationship Id="rId10" Type="http://schemas.openxmlformats.org/officeDocument/2006/relationships/hyperlink" Target="https://sites.google.com/nihr.ac.uk/bestpatientcareclinicalresearc/introduction/why-research-is-important/evidence-for-the-impact-of-research-on-patient-care" TargetMode="External"/><Relationship Id="rId13" Type="http://schemas.openxmlformats.org/officeDocument/2006/relationships/hyperlink" Target="https://www.cqc.org.uk/sites/default/files/20200115_Trust_wide_well_led_inspection_framework_V7.pdf" TargetMode="External"/><Relationship Id="rId12" Type="http://schemas.openxmlformats.org/officeDocument/2006/relationships/hyperlink" Target="https://www.rand.org/randeurope/research/projects/enabling-nhs-staff-to-contribute-to-research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240168616" TargetMode="External"/><Relationship Id="rId14" Type="http://schemas.openxmlformats.org/officeDocument/2006/relationships/hyperlink" Target="https://www.longtermplan.nhs.uk/online-version/chapter-3-further-progress-on-care-quality-and-outcomes/better-care-for-major-health-conditions/research-and-innovation-to-drive-future-outcomes-improvemen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ites.google.com/s/10Knt1KSQwyUlNqCuCyHUwCiELBc7NKhU/p/1Ry6-v40UnJ2F6IGqvL9qbcf8HfNV0cOF/edit" TargetMode="External"/><Relationship Id="rId8" Type="http://schemas.openxmlformats.org/officeDocument/2006/relationships/hyperlink" Target="https://sites.google.com/s/10Knt1KSQwyUlNqCuCyHUwCiELBc7NKhU/p/1Ry6-v40UnJ2F6IGqvL9qbcf8HfNV0cOF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