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6413"/>
      </w:tblGrid>
      <w:tr w:rsidR="005C05B4" w:rsidRPr="005806DE" w14:paraId="7B7032F3" w14:textId="77777777" w:rsidTr="000208A9">
        <w:trPr>
          <w:cantSplit/>
          <w:trHeight w:val="561"/>
        </w:trPr>
        <w:tc>
          <w:tcPr>
            <w:tcW w:w="9923" w:type="dxa"/>
            <w:gridSpan w:val="3"/>
            <w:vAlign w:val="center"/>
          </w:tcPr>
          <w:p w14:paraId="325ED723" w14:textId="77777777" w:rsidR="005C05B4" w:rsidRPr="000208A9" w:rsidRDefault="005C05B4" w:rsidP="000208A9">
            <w:pPr>
              <w:jc w:val="center"/>
              <w:rPr>
                <w:b/>
                <w:sz w:val="22"/>
                <w:szCs w:val="22"/>
              </w:rPr>
            </w:pPr>
            <w:r w:rsidRPr="000208A9">
              <w:rPr>
                <w:b/>
                <w:sz w:val="28"/>
                <w:szCs w:val="22"/>
              </w:rPr>
              <w:t>DOCUMENT CONTROL PAGE</w:t>
            </w:r>
          </w:p>
        </w:tc>
      </w:tr>
      <w:tr w:rsidR="005C05B4" w:rsidRPr="005806DE" w14:paraId="660280B1" w14:textId="77777777" w:rsidTr="00A46387">
        <w:trPr>
          <w:cantSplit/>
          <w:trHeight w:val="1134"/>
        </w:trPr>
        <w:tc>
          <w:tcPr>
            <w:tcW w:w="817" w:type="dxa"/>
            <w:textDirection w:val="btLr"/>
            <w:vAlign w:val="center"/>
          </w:tcPr>
          <w:p w14:paraId="1A5FA14C" w14:textId="77777777" w:rsidR="005C05B4" w:rsidRPr="005806DE" w:rsidRDefault="005C05B4" w:rsidP="000208A9">
            <w:pPr>
              <w:jc w:val="center"/>
              <w:rPr>
                <w:sz w:val="22"/>
                <w:szCs w:val="22"/>
              </w:rPr>
            </w:pPr>
            <w:r w:rsidRPr="005806DE">
              <w:rPr>
                <w:sz w:val="22"/>
                <w:szCs w:val="22"/>
              </w:rPr>
              <w:t>Title</w:t>
            </w:r>
          </w:p>
        </w:tc>
        <w:tc>
          <w:tcPr>
            <w:tcW w:w="9106" w:type="dxa"/>
            <w:gridSpan w:val="2"/>
            <w:vAlign w:val="center"/>
          </w:tcPr>
          <w:p w14:paraId="61BB8E64" w14:textId="77777777" w:rsidR="006F31E3" w:rsidRPr="000208A9" w:rsidRDefault="009C393B" w:rsidP="00A46387">
            <w:pPr>
              <w:rPr>
                <w:szCs w:val="24"/>
              </w:rPr>
            </w:pPr>
            <w:r>
              <w:rPr>
                <w:szCs w:val="24"/>
              </w:rPr>
              <w:t xml:space="preserve">Title: </w:t>
            </w:r>
            <w:r w:rsidR="00652CE0">
              <w:rPr>
                <w:szCs w:val="24"/>
              </w:rPr>
              <w:t>Safety Reporting in Clinical Investigations of Medical Devices (MHRA Regulated</w:t>
            </w:r>
            <w:r w:rsidR="00171E3F">
              <w:rPr>
                <w:szCs w:val="24"/>
              </w:rPr>
              <w:t xml:space="preserve"> Device Trial</w:t>
            </w:r>
            <w:r w:rsidR="00B57787">
              <w:rPr>
                <w:szCs w:val="24"/>
              </w:rPr>
              <w:t>s</w:t>
            </w:r>
            <w:r w:rsidR="00652CE0">
              <w:rPr>
                <w:szCs w:val="24"/>
              </w:rPr>
              <w:t>)</w:t>
            </w:r>
          </w:p>
          <w:p w14:paraId="73526B7D" w14:textId="77777777" w:rsidR="006F31E3" w:rsidRPr="000208A9" w:rsidRDefault="009C393B" w:rsidP="00A46387">
            <w:pPr>
              <w:rPr>
                <w:szCs w:val="24"/>
              </w:rPr>
            </w:pPr>
            <w:r>
              <w:rPr>
                <w:szCs w:val="24"/>
              </w:rPr>
              <w:t xml:space="preserve">Version: </w:t>
            </w:r>
            <w:r w:rsidR="00652CE0">
              <w:rPr>
                <w:szCs w:val="24"/>
              </w:rPr>
              <w:t>1.</w:t>
            </w:r>
            <w:r w:rsidR="001A73C8">
              <w:rPr>
                <w:szCs w:val="24"/>
              </w:rPr>
              <w:t>1</w:t>
            </w:r>
          </w:p>
          <w:p w14:paraId="3BF2A075" w14:textId="77777777" w:rsidR="005C05B4" w:rsidRPr="000208A9" w:rsidRDefault="005C05B4" w:rsidP="00BD4B4A">
            <w:pPr>
              <w:rPr>
                <w:szCs w:val="24"/>
              </w:rPr>
            </w:pPr>
            <w:r w:rsidRPr="000208A9">
              <w:rPr>
                <w:szCs w:val="24"/>
              </w:rPr>
              <w:t>Reference Number:</w:t>
            </w:r>
            <w:r w:rsidR="00C07A4B" w:rsidRPr="000208A9">
              <w:rPr>
                <w:szCs w:val="24"/>
              </w:rPr>
              <w:t xml:space="preserve">  RI SOP </w:t>
            </w:r>
            <w:r w:rsidR="00C51F2C">
              <w:rPr>
                <w:szCs w:val="24"/>
              </w:rPr>
              <w:t>0</w:t>
            </w:r>
            <w:r w:rsidR="00BD4B4A">
              <w:rPr>
                <w:szCs w:val="24"/>
              </w:rPr>
              <w:t>8D</w:t>
            </w:r>
          </w:p>
        </w:tc>
      </w:tr>
      <w:tr w:rsidR="005C05B4" w:rsidRPr="005806DE" w14:paraId="5C6D8088" w14:textId="77777777" w:rsidTr="00490802">
        <w:trPr>
          <w:cantSplit/>
          <w:trHeight w:val="1391"/>
        </w:trPr>
        <w:tc>
          <w:tcPr>
            <w:tcW w:w="817" w:type="dxa"/>
            <w:textDirection w:val="btLr"/>
            <w:vAlign w:val="center"/>
          </w:tcPr>
          <w:p w14:paraId="090FFE7D" w14:textId="77777777" w:rsidR="005C05B4" w:rsidRPr="005806DE" w:rsidRDefault="005C05B4" w:rsidP="000208A9">
            <w:pPr>
              <w:jc w:val="center"/>
              <w:rPr>
                <w:sz w:val="22"/>
                <w:szCs w:val="22"/>
              </w:rPr>
            </w:pPr>
            <w:r w:rsidRPr="005806DE">
              <w:rPr>
                <w:sz w:val="22"/>
                <w:szCs w:val="22"/>
              </w:rPr>
              <w:t>Supersedes</w:t>
            </w:r>
          </w:p>
        </w:tc>
        <w:tc>
          <w:tcPr>
            <w:tcW w:w="9106" w:type="dxa"/>
            <w:gridSpan w:val="2"/>
            <w:vAlign w:val="center"/>
          </w:tcPr>
          <w:p w14:paraId="45A2C25F" w14:textId="77777777" w:rsidR="004C6729" w:rsidRPr="000208A9" w:rsidRDefault="005C05B4" w:rsidP="000208A9">
            <w:pPr>
              <w:rPr>
                <w:szCs w:val="24"/>
              </w:rPr>
            </w:pPr>
            <w:r w:rsidRPr="000208A9">
              <w:rPr>
                <w:szCs w:val="24"/>
              </w:rPr>
              <w:t xml:space="preserve">Supersedes: </w:t>
            </w:r>
            <w:r w:rsidR="001A73C8">
              <w:rPr>
                <w:szCs w:val="24"/>
              </w:rPr>
              <w:t>Version 1.0</w:t>
            </w:r>
          </w:p>
          <w:p w14:paraId="1007A2DC" w14:textId="77777777" w:rsidR="005C05B4" w:rsidRPr="000208A9" w:rsidRDefault="005C05B4" w:rsidP="000208A9">
            <w:pPr>
              <w:rPr>
                <w:szCs w:val="24"/>
              </w:rPr>
            </w:pPr>
          </w:p>
          <w:p w14:paraId="0FFF9E6D" w14:textId="77777777" w:rsidR="005C05B4" w:rsidRPr="000208A9" w:rsidRDefault="005C05B4" w:rsidP="00C51F2C">
            <w:pPr>
              <w:rPr>
                <w:szCs w:val="24"/>
              </w:rPr>
            </w:pPr>
            <w:r w:rsidRPr="000208A9">
              <w:rPr>
                <w:szCs w:val="24"/>
              </w:rPr>
              <w:t xml:space="preserve">Changes: </w:t>
            </w:r>
            <w:r w:rsidR="00652CE0">
              <w:rPr>
                <w:szCs w:val="24"/>
              </w:rPr>
              <w:t xml:space="preserve"> </w:t>
            </w:r>
            <w:r w:rsidR="001A73C8">
              <w:t>Minor amendment to MDR references throughout</w:t>
            </w:r>
          </w:p>
        </w:tc>
      </w:tr>
      <w:tr w:rsidR="005C05B4" w:rsidRPr="005806DE" w14:paraId="273738CA" w14:textId="77777777" w:rsidTr="00526486">
        <w:trPr>
          <w:cantSplit/>
          <w:trHeight w:val="1540"/>
        </w:trPr>
        <w:tc>
          <w:tcPr>
            <w:tcW w:w="817" w:type="dxa"/>
            <w:textDirection w:val="btLr"/>
            <w:vAlign w:val="center"/>
          </w:tcPr>
          <w:p w14:paraId="6FE8BF70" w14:textId="77777777" w:rsidR="005C05B4" w:rsidRPr="005806DE" w:rsidRDefault="005C05B4" w:rsidP="00526486">
            <w:pPr>
              <w:jc w:val="center"/>
              <w:rPr>
                <w:sz w:val="22"/>
                <w:szCs w:val="22"/>
              </w:rPr>
            </w:pPr>
            <w:r w:rsidRPr="005806DE">
              <w:rPr>
                <w:sz w:val="22"/>
                <w:szCs w:val="22"/>
              </w:rPr>
              <w:t>Minor Amendment</w:t>
            </w:r>
          </w:p>
        </w:tc>
        <w:tc>
          <w:tcPr>
            <w:tcW w:w="9106" w:type="dxa"/>
            <w:gridSpan w:val="2"/>
            <w:vAlign w:val="center"/>
          </w:tcPr>
          <w:p w14:paraId="4F052A51" w14:textId="77777777" w:rsidR="005C05B4" w:rsidRPr="000208A9" w:rsidRDefault="005C05B4" w:rsidP="000208A9">
            <w:pPr>
              <w:rPr>
                <w:szCs w:val="24"/>
              </w:rPr>
            </w:pPr>
            <w:r w:rsidRPr="000208A9">
              <w:rPr>
                <w:szCs w:val="24"/>
              </w:rPr>
              <w:t>Date</w:t>
            </w:r>
            <w:r w:rsidR="009C393B">
              <w:rPr>
                <w:szCs w:val="24"/>
              </w:rPr>
              <w:t>:</w:t>
            </w:r>
            <w:r w:rsidRPr="000208A9">
              <w:rPr>
                <w:szCs w:val="24"/>
              </w:rPr>
              <w:t xml:space="preserve"> </w:t>
            </w:r>
            <w:r w:rsidR="001A73C8">
              <w:rPr>
                <w:szCs w:val="24"/>
              </w:rPr>
              <w:t>7 July 2020</w:t>
            </w:r>
          </w:p>
          <w:p w14:paraId="14353E5E" w14:textId="77777777" w:rsidR="005C05B4" w:rsidRPr="000208A9" w:rsidRDefault="005C05B4" w:rsidP="000208A9">
            <w:pPr>
              <w:rPr>
                <w:szCs w:val="24"/>
              </w:rPr>
            </w:pPr>
          </w:p>
          <w:p w14:paraId="59A666ED" w14:textId="77777777" w:rsidR="005C05B4" w:rsidRPr="000208A9" w:rsidRDefault="005C05B4" w:rsidP="000208A9">
            <w:pPr>
              <w:rPr>
                <w:szCs w:val="24"/>
              </w:rPr>
            </w:pPr>
            <w:r w:rsidRPr="000208A9">
              <w:rPr>
                <w:szCs w:val="24"/>
              </w:rPr>
              <w:t>Notified To</w:t>
            </w:r>
            <w:r w:rsidR="009C393B">
              <w:rPr>
                <w:szCs w:val="24"/>
              </w:rPr>
              <w:t>:</w:t>
            </w:r>
            <w:r w:rsidRPr="000208A9">
              <w:rPr>
                <w:szCs w:val="24"/>
              </w:rPr>
              <w:t xml:space="preserve"> </w:t>
            </w:r>
            <w:r w:rsidR="001A73C8">
              <w:rPr>
                <w:szCs w:val="24"/>
              </w:rPr>
              <w:t>Sponsorship and Governance Oversight Committee</w:t>
            </w:r>
          </w:p>
          <w:p w14:paraId="5FC77693" w14:textId="77777777" w:rsidR="005C05B4" w:rsidRPr="000208A9" w:rsidRDefault="005C05B4" w:rsidP="000208A9">
            <w:pPr>
              <w:rPr>
                <w:szCs w:val="24"/>
              </w:rPr>
            </w:pPr>
          </w:p>
          <w:p w14:paraId="021CD580" w14:textId="77777777" w:rsidR="005C05B4" w:rsidRPr="000208A9" w:rsidRDefault="005C05B4" w:rsidP="00C51F2C">
            <w:pPr>
              <w:rPr>
                <w:szCs w:val="24"/>
              </w:rPr>
            </w:pPr>
            <w:r w:rsidRPr="000208A9">
              <w:rPr>
                <w:szCs w:val="24"/>
              </w:rPr>
              <w:t>Summary of amendments</w:t>
            </w:r>
            <w:r w:rsidR="009C393B">
              <w:rPr>
                <w:szCs w:val="24"/>
              </w:rPr>
              <w:t>:</w:t>
            </w:r>
            <w:r w:rsidRPr="000208A9">
              <w:rPr>
                <w:szCs w:val="24"/>
              </w:rPr>
              <w:t xml:space="preserve"> </w:t>
            </w:r>
            <w:r w:rsidR="001A73C8">
              <w:rPr>
                <w:szCs w:val="24"/>
              </w:rPr>
              <w:t>Minor change to medical device regulations referenced, following national delay in implementing the 2017 Medical Devices Regulations until May 2021</w:t>
            </w:r>
          </w:p>
        </w:tc>
      </w:tr>
      <w:tr w:rsidR="005C05B4" w:rsidRPr="005806DE" w14:paraId="3ED13193" w14:textId="77777777" w:rsidTr="000208A9">
        <w:trPr>
          <w:cantSplit/>
          <w:trHeight w:val="989"/>
        </w:trPr>
        <w:tc>
          <w:tcPr>
            <w:tcW w:w="817" w:type="dxa"/>
            <w:textDirection w:val="btLr"/>
            <w:vAlign w:val="center"/>
          </w:tcPr>
          <w:p w14:paraId="0C8A5416" w14:textId="77777777" w:rsidR="005C05B4" w:rsidRPr="005806DE" w:rsidRDefault="00753C99" w:rsidP="000208A9">
            <w:pPr>
              <w:jc w:val="center"/>
              <w:rPr>
                <w:sz w:val="22"/>
                <w:szCs w:val="22"/>
              </w:rPr>
            </w:pPr>
            <w:r w:rsidRPr="005806DE">
              <w:rPr>
                <w:sz w:val="22"/>
                <w:szCs w:val="22"/>
              </w:rPr>
              <w:t>Author</w:t>
            </w:r>
          </w:p>
        </w:tc>
        <w:tc>
          <w:tcPr>
            <w:tcW w:w="9106" w:type="dxa"/>
            <w:gridSpan w:val="2"/>
            <w:vAlign w:val="center"/>
          </w:tcPr>
          <w:p w14:paraId="31C88B09" w14:textId="77777777" w:rsidR="005C05B4" w:rsidRPr="000208A9" w:rsidRDefault="005C05B4" w:rsidP="000208A9">
            <w:pPr>
              <w:rPr>
                <w:szCs w:val="24"/>
                <w:vertAlign w:val="superscript"/>
              </w:rPr>
            </w:pPr>
            <w:r w:rsidRPr="000208A9">
              <w:rPr>
                <w:szCs w:val="24"/>
              </w:rPr>
              <w:t xml:space="preserve">Originated / Modified By: </w:t>
            </w:r>
            <w:r w:rsidR="00A46387">
              <w:rPr>
                <w:szCs w:val="24"/>
              </w:rPr>
              <w:t>Paula Smalley</w:t>
            </w:r>
          </w:p>
          <w:p w14:paraId="758AB733" w14:textId="77777777" w:rsidR="005C05B4" w:rsidRPr="000208A9" w:rsidRDefault="005C05B4" w:rsidP="000208A9">
            <w:pPr>
              <w:rPr>
                <w:szCs w:val="24"/>
              </w:rPr>
            </w:pPr>
          </w:p>
          <w:p w14:paraId="65A3250C" w14:textId="77777777" w:rsidR="005C05B4" w:rsidRPr="000208A9" w:rsidRDefault="005C05B4" w:rsidP="001A73C8">
            <w:pPr>
              <w:rPr>
                <w:szCs w:val="24"/>
              </w:rPr>
            </w:pPr>
            <w:r w:rsidRPr="000208A9">
              <w:rPr>
                <w:szCs w:val="24"/>
              </w:rPr>
              <w:t>Designation:</w:t>
            </w:r>
            <w:r w:rsidR="00D761D9" w:rsidRPr="000208A9">
              <w:rPr>
                <w:szCs w:val="24"/>
              </w:rPr>
              <w:t xml:space="preserve"> </w:t>
            </w:r>
            <w:r w:rsidR="001A73C8">
              <w:rPr>
                <w:szCs w:val="24"/>
              </w:rPr>
              <w:t>Quality Assurance Manager</w:t>
            </w:r>
          </w:p>
        </w:tc>
      </w:tr>
      <w:tr w:rsidR="005C05B4" w:rsidRPr="005806DE" w14:paraId="10B48CA3" w14:textId="77777777" w:rsidTr="000208A9">
        <w:trPr>
          <w:cantSplit/>
          <w:trHeight w:val="1273"/>
        </w:trPr>
        <w:tc>
          <w:tcPr>
            <w:tcW w:w="817" w:type="dxa"/>
            <w:textDirection w:val="btLr"/>
            <w:vAlign w:val="center"/>
          </w:tcPr>
          <w:p w14:paraId="7A67A3AC" w14:textId="77777777" w:rsidR="005C05B4" w:rsidRPr="005806DE" w:rsidRDefault="005C05B4" w:rsidP="000208A9">
            <w:pPr>
              <w:jc w:val="center"/>
              <w:rPr>
                <w:sz w:val="22"/>
                <w:szCs w:val="22"/>
              </w:rPr>
            </w:pPr>
            <w:r w:rsidRPr="005806DE">
              <w:rPr>
                <w:sz w:val="22"/>
                <w:szCs w:val="22"/>
              </w:rPr>
              <w:t>Ratification</w:t>
            </w:r>
          </w:p>
        </w:tc>
        <w:tc>
          <w:tcPr>
            <w:tcW w:w="9106" w:type="dxa"/>
            <w:gridSpan w:val="2"/>
          </w:tcPr>
          <w:p w14:paraId="74FF046D" w14:textId="77777777" w:rsidR="005C05B4" w:rsidRPr="000208A9" w:rsidRDefault="005C05B4" w:rsidP="005A03C6">
            <w:pPr>
              <w:rPr>
                <w:szCs w:val="24"/>
              </w:rPr>
            </w:pPr>
          </w:p>
          <w:p w14:paraId="7659CF0B" w14:textId="77777777" w:rsidR="005C05B4" w:rsidRPr="000208A9" w:rsidRDefault="005C05B4" w:rsidP="005A03C6">
            <w:pPr>
              <w:rPr>
                <w:szCs w:val="24"/>
              </w:rPr>
            </w:pPr>
            <w:r w:rsidRPr="000208A9">
              <w:rPr>
                <w:szCs w:val="24"/>
              </w:rPr>
              <w:t xml:space="preserve">Ratified by: </w:t>
            </w:r>
            <w:r w:rsidR="004C6729" w:rsidRPr="000208A9">
              <w:rPr>
                <w:szCs w:val="24"/>
              </w:rPr>
              <w:t>Sponsorship and Governance Oversight Committee</w:t>
            </w:r>
          </w:p>
          <w:p w14:paraId="6E68C62A" w14:textId="77777777" w:rsidR="005C05B4" w:rsidRPr="000208A9" w:rsidRDefault="005C05B4" w:rsidP="005A03C6">
            <w:pPr>
              <w:rPr>
                <w:szCs w:val="24"/>
              </w:rPr>
            </w:pPr>
          </w:p>
          <w:p w14:paraId="44872C1F" w14:textId="77777777" w:rsidR="005C05B4" w:rsidRPr="000208A9" w:rsidRDefault="005C05B4" w:rsidP="001A73C8">
            <w:pPr>
              <w:rPr>
                <w:szCs w:val="24"/>
              </w:rPr>
            </w:pPr>
            <w:r w:rsidRPr="000208A9">
              <w:rPr>
                <w:szCs w:val="24"/>
              </w:rPr>
              <w:t xml:space="preserve">Date of Ratification:  </w:t>
            </w:r>
            <w:r w:rsidR="00652CE0">
              <w:rPr>
                <w:szCs w:val="24"/>
              </w:rPr>
              <w:t xml:space="preserve">7 </w:t>
            </w:r>
            <w:r w:rsidR="001A73C8">
              <w:rPr>
                <w:szCs w:val="24"/>
              </w:rPr>
              <w:t xml:space="preserve">July </w:t>
            </w:r>
            <w:r w:rsidR="00652CE0">
              <w:rPr>
                <w:szCs w:val="24"/>
              </w:rPr>
              <w:t>2020</w:t>
            </w:r>
          </w:p>
        </w:tc>
      </w:tr>
      <w:tr w:rsidR="005C05B4" w:rsidRPr="005806DE" w14:paraId="5C0F42A1" w14:textId="77777777" w:rsidTr="000208A9">
        <w:trPr>
          <w:cantSplit/>
          <w:trHeight w:val="1301"/>
        </w:trPr>
        <w:tc>
          <w:tcPr>
            <w:tcW w:w="817" w:type="dxa"/>
            <w:textDirection w:val="btLr"/>
            <w:vAlign w:val="center"/>
          </w:tcPr>
          <w:p w14:paraId="798407DA" w14:textId="77777777" w:rsidR="005C05B4" w:rsidRPr="005806DE" w:rsidRDefault="005C05B4" w:rsidP="000208A9">
            <w:pPr>
              <w:jc w:val="center"/>
              <w:rPr>
                <w:sz w:val="22"/>
                <w:szCs w:val="22"/>
              </w:rPr>
            </w:pPr>
            <w:r w:rsidRPr="005806DE">
              <w:rPr>
                <w:sz w:val="22"/>
                <w:szCs w:val="22"/>
              </w:rPr>
              <w:t>Application</w:t>
            </w:r>
          </w:p>
        </w:tc>
        <w:tc>
          <w:tcPr>
            <w:tcW w:w="9106" w:type="dxa"/>
            <w:gridSpan w:val="2"/>
            <w:vAlign w:val="center"/>
          </w:tcPr>
          <w:p w14:paraId="592E30B4" w14:textId="77777777" w:rsidR="005C05B4" w:rsidRPr="000208A9" w:rsidRDefault="004C6729" w:rsidP="00A46387">
            <w:pPr>
              <w:rPr>
                <w:szCs w:val="24"/>
              </w:rPr>
            </w:pPr>
            <w:r w:rsidRPr="000208A9">
              <w:rPr>
                <w:szCs w:val="24"/>
              </w:rPr>
              <w:t xml:space="preserve">All staff involved in </w:t>
            </w:r>
            <w:r w:rsidR="00A46387">
              <w:rPr>
                <w:szCs w:val="24"/>
              </w:rPr>
              <w:t>research</w:t>
            </w:r>
          </w:p>
        </w:tc>
      </w:tr>
      <w:tr w:rsidR="005C05B4" w:rsidRPr="005806DE" w14:paraId="54F27EDC" w14:textId="77777777" w:rsidTr="000208A9">
        <w:trPr>
          <w:cantSplit/>
          <w:trHeight w:val="1021"/>
        </w:trPr>
        <w:tc>
          <w:tcPr>
            <w:tcW w:w="817" w:type="dxa"/>
            <w:textDirection w:val="btLr"/>
            <w:vAlign w:val="center"/>
          </w:tcPr>
          <w:p w14:paraId="507C0124" w14:textId="77777777" w:rsidR="005C05B4" w:rsidRPr="005806DE" w:rsidRDefault="005C05B4" w:rsidP="000208A9">
            <w:pPr>
              <w:jc w:val="center"/>
              <w:rPr>
                <w:sz w:val="22"/>
                <w:szCs w:val="22"/>
              </w:rPr>
            </w:pPr>
            <w:r w:rsidRPr="005806DE">
              <w:rPr>
                <w:sz w:val="22"/>
                <w:szCs w:val="22"/>
              </w:rPr>
              <w:t>Circulation</w:t>
            </w:r>
          </w:p>
        </w:tc>
        <w:tc>
          <w:tcPr>
            <w:tcW w:w="9106" w:type="dxa"/>
            <w:gridSpan w:val="2"/>
          </w:tcPr>
          <w:p w14:paraId="40449613" w14:textId="77777777" w:rsidR="005C05B4" w:rsidRPr="000208A9" w:rsidRDefault="005C05B4" w:rsidP="005A03C6">
            <w:pPr>
              <w:rPr>
                <w:szCs w:val="24"/>
              </w:rPr>
            </w:pPr>
            <w:r w:rsidRPr="000208A9">
              <w:rPr>
                <w:szCs w:val="24"/>
              </w:rPr>
              <w:t xml:space="preserve">Issue Date: </w:t>
            </w:r>
            <w:r w:rsidR="001A73C8">
              <w:rPr>
                <w:szCs w:val="24"/>
              </w:rPr>
              <w:t xml:space="preserve">July </w:t>
            </w:r>
            <w:r w:rsidR="00652CE0">
              <w:rPr>
                <w:szCs w:val="24"/>
              </w:rPr>
              <w:t>2020</w:t>
            </w:r>
          </w:p>
          <w:p w14:paraId="223E2222" w14:textId="77777777" w:rsidR="005C05B4" w:rsidRPr="000208A9" w:rsidRDefault="005C05B4" w:rsidP="005A03C6">
            <w:pPr>
              <w:rPr>
                <w:szCs w:val="24"/>
              </w:rPr>
            </w:pPr>
          </w:p>
          <w:p w14:paraId="44B033EA" w14:textId="77777777" w:rsidR="005C05B4" w:rsidRPr="000208A9" w:rsidRDefault="005C05B4" w:rsidP="005A03C6">
            <w:pPr>
              <w:rPr>
                <w:szCs w:val="24"/>
              </w:rPr>
            </w:pPr>
            <w:r w:rsidRPr="000208A9">
              <w:rPr>
                <w:szCs w:val="24"/>
              </w:rPr>
              <w:t xml:space="preserve">Circulated by: </w:t>
            </w:r>
            <w:r w:rsidR="004C6729" w:rsidRPr="000208A9">
              <w:rPr>
                <w:szCs w:val="24"/>
              </w:rPr>
              <w:t>Trust intranet</w:t>
            </w:r>
          </w:p>
          <w:p w14:paraId="36C46F60" w14:textId="77777777" w:rsidR="005C05B4" w:rsidRPr="000208A9" w:rsidRDefault="005C05B4" w:rsidP="005A03C6">
            <w:pPr>
              <w:rPr>
                <w:szCs w:val="24"/>
              </w:rPr>
            </w:pPr>
          </w:p>
          <w:p w14:paraId="28F187C6" w14:textId="77777777" w:rsidR="005C05B4" w:rsidRPr="000208A9" w:rsidRDefault="008F6F37" w:rsidP="00526486">
            <w:pPr>
              <w:rPr>
                <w:szCs w:val="24"/>
              </w:rPr>
            </w:pPr>
            <w:r w:rsidRPr="000208A9">
              <w:rPr>
                <w:szCs w:val="24"/>
              </w:rPr>
              <w:t>D</w:t>
            </w:r>
            <w:r w:rsidR="005C05B4" w:rsidRPr="000208A9">
              <w:rPr>
                <w:szCs w:val="24"/>
              </w:rPr>
              <w:t xml:space="preserve">issemination and Implementation: </w:t>
            </w:r>
            <w:r w:rsidR="001A6667" w:rsidRPr="000208A9">
              <w:rPr>
                <w:szCs w:val="24"/>
              </w:rPr>
              <w:t xml:space="preserve">Refer to section </w:t>
            </w:r>
          </w:p>
        </w:tc>
      </w:tr>
      <w:tr w:rsidR="005C05B4" w:rsidRPr="005806DE" w14:paraId="543704AD" w14:textId="77777777" w:rsidTr="000208A9">
        <w:trPr>
          <w:cantSplit/>
          <w:trHeight w:val="1134"/>
        </w:trPr>
        <w:tc>
          <w:tcPr>
            <w:tcW w:w="817" w:type="dxa"/>
            <w:textDirection w:val="btLr"/>
            <w:vAlign w:val="center"/>
          </w:tcPr>
          <w:p w14:paraId="75F9A625" w14:textId="77777777" w:rsidR="005C05B4" w:rsidRPr="005806DE" w:rsidRDefault="005C05B4" w:rsidP="000208A9">
            <w:pPr>
              <w:jc w:val="center"/>
              <w:rPr>
                <w:sz w:val="22"/>
                <w:szCs w:val="22"/>
              </w:rPr>
            </w:pPr>
            <w:r w:rsidRPr="005806DE">
              <w:rPr>
                <w:sz w:val="22"/>
                <w:szCs w:val="22"/>
              </w:rPr>
              <w:t>Review</w:t>
            </w:r>
          </w:p>
        </w:tc>
        <w:tc>
          <w:tcPr>
            <w:tcW w:w="9106" w:type="dxa"/>
            <w:gridSpan w:val="2"/>
            <w:vAlign w:val="center"/>
          </w:tcPr>
          <w:p w14:paraId="0567CCAF" w14:textId="77777777" w:rsidR="005C05B4" w:rsidRDefault="005C05B4" w:rsidP="000208A9">
            <w:pPr>
              <w:rPr>
                <w:szCs w:val="24"/>
              </w:rPr>
            </w:pPr>
            <w:r w:rsidRPr="000208A9">
              <w:rPr>
                <w:szCs w:val="24"/>
              </w:rPr>
              <w:t xml:space="preserve">Review Date: </w:t>
            </w:r>
            <w:r w:rsidR="00171E3F">
              <w:rPr>
                <w:szCs w:val="24"/>
              </w:rPr>
              <w:t>October 2022</w:t>
            </w:r>
          </w:p>
          <w:p w14:paraId="7A241722" w14:textId="77777777" w:rsidR="006F31E3" w:rsidRPr="000208A9" w:rsidRDefault="006F31E3" w:rsidP="000208A9">
            <w:pPr>
              <w:rPr>
                <w:szCs w:val="24"/>
              </w:rPr>
            </w:pPr>
          </w:p>
          <w:p w14:paraId="55987115" w14:textId="77777777" w:rsidR="005C05B4" w:rsidRPr="000208A9" w:rsidRDefault="0089055D" w:rsidP="000208A9">
            <w:pPr>
              <w:rPr>
                <w:szCs w:val="24"/>
              </w:rPr>
            </w:pPr>
            <w:r w:rsidRPr="000208A9">
              <w:rPr>
                <w:szCs w:val="24"/>
              </w:rPr>
              <w:t xml:space="preserve">Responsibility of: </w:t>
            </w:r>
            <w:r w:rsidR="004C6729" w:rsidRPr="000208A9">
              <w:rPr>
                <w:szCs w:val="24"/>
              </w:rPr>
              <w:t xml:space="preserve">Quality </w:t>
            </w:r>
            <w:r w:rsidR="00C759F8">
              <w:rPr>
                <w:szCs w:val="24"/>
              </w:rPr>
              <w:t xml:space="preserve">Assurance </w:t>
            </w:r>
            <w:r w:rsidR="004C6729" w:rsidRPr="000208A9">
              <w:rPr>
                <w:szCs w:val="24"/>
              </w:rPr>
              <w:t>Manager</w:t>
            </w:r>
          </w:p>
        </w:tc>
      </w:tr>
      <w:tr w:rsidR="005C05B4" w:rsidRPr="005806DE" w14:paraId="497F71D4" w14:textId="77777777" w:rsidTr="00C41DE0">
        <w:trPr>
          <w:cantSplit/>
          <w:trHeight w:val="674"/>
        </w:trPr>
        <w:tc>
          <w:tcPr>
            <w:tcW w:w="3510" w:type="dxa"/>
            <w:gridSpan w:val="2"/>
          </w:tcPr>
          <w:p w14:paraId="5DBB36B7" w14:textId="77777777" w:rsidR="005C05B4" w:rsidRPr="000208A9" w:rsidRDefault="005C05B4" w:rsidP="005A03C6">
            <w:pPr>
              <w:rPr>
                <w:szCs w:val="24"/>
              </w:rPr>
            </w:pPr>
            <w:r w:rsidRPr="000208A9">
              <w:rPr>
                <w:szCs w:val="24"/>
              </w:rPr>
              <w:t>Date placed on the Intranet:</w:t>
            </w:r>
          </w:p>
          <w:p w14:paraId="722EEA76" w14:textId="77777777" w:rsidR="005C05B4" w:rsidRPr="000208A9" w:rsidRDefault="001A73C8" w:rsidP="001A73C8">
            <w:pPr>
              <w:rPr>
                <w:szCs w:val="24"/>
              </w:rPr>
            </w:pPr>
            <w:r>
              <w:rPr>
                <w:szCs w:val="24"/>
              </w:rPr>
              <w:t xml:space="preserve">July </w:t>
            </w:r>
            <w:r w:rsidR="00900B7C">
              <w:rPr>
                <w:szCs w:val="24"/>
              </w:rPr>
              <w:t>2020</w:t>
            </w:r>
          </w:p>
        </w:tc>
        <w:tc>
          <w:tcPr>
            <w:tcW w:w="6413" w:type="dxa"/>
          </w:tcPr>
          <w:p w14:paraId="0CE5A4DC" w14:textId="77777777" w:rsidR="005C05B4" w:rsidRPr="000208A9" w:rsidRDefault="005C05B4" w:rsidP="005A03C6">
            <w:pPr>
              <w:rPr>
                <w:szCs w:val="24"/>
              </w:rPr>
            </w:pPr>
            <w:r w:rsidRPr="000208A9">
              <w:rPr>
                <w:szCs w:val="24"/>
              </w:rPr>
              <w:t xml:space="preserve">Please enter your EqIA Registration Number here: </w:t>
            </w:r>
          </w:p>
          <w:p w14:paraId="60F2464A" w14:textId="77777777" w:rsidR="005C05B4" w:rsidRPr="000208A9" w:rsidRDefault="00EC3D3F" w:rsidP="00CE041A">
            <w:pPr>
              <w:rPr>
                <w:szCs w:val="24"/>
              </w:rPr>
            </w:pPr>
            <w:r>
              <w:rPr>
                <w:szCs w:val="24"/>
              </w:rPr>
              <w:t>2019-297</w:t>
            </w:r>
            <w:r w:rsidR="00E66102">
              <w:rPr>
                <w:szCs w:val="24"/>
              </w:rPr>
              <w:t>-R1</w:t>
            </w:r>
          </w:p>
        </w:tc>
      </w:tr>
    </w:tbl>
    <w:p w14:paraId="393EAFE7" w14:textId="77777777" w:rsidR="00517296" w:rsidRPr="005A03C6" w:rsidRDefault="00517296" w:rsidP="005A03C6"/>
    <w:p w14:paraId="34EEFB3F" w14:textId="77777777" w:rsidR="00517296" w:rsidRDefault="00517296">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7"/>
        <w:gridCol w:w="992"/>
      </w:tblGrid>
      <w:tr w:rsidR="008C5C63" w:rsidRPr="000208A9" w14:paraId="1201FFB4" w14:textId="77777777" w:rsidTr="009A13F0">
        <w:tc>
          <w:tcPr>
            <w:tcW w:w="1101" w:type="dxa"/>
          </w:tcPr>
          <w:p w14:paraId="4F2980EB" w14:textId="77777777" w:rsidR="008C5C63" w:rsidRPr="000208A9" w:rsidRDefault="008C5C63" w:rsidP="002A427E">
            <w:pPr>
              <w:jc w:val="center"/>
              <w:rPr>
                <w:rFonts w:cs="Arial"/>
                <w:b/>
                <w:szCs w:val="24"/>
              </w:rPr>
            </w:pPr>
            <w:r w:rsidRPr="000208A9">
              <w:rPr>
                <w:rFonts w:cs="Arial"/>
                <w:b/>
                <w:szCs w:val="24"/>
              </w:rPr>
              <w:lastRenderedPageBreak/>
              <w:t>Section</w:t>
            </w:r>
          </w:p>
        </w:tc>
        <w:tc>
          <w:tcPr>
            <w:tcW w:w="7087" w:type="dxa"/>
          </w:tcPr>
          <w:p w14:paraId="064399D5" w14:textId="77777777" w:rsidR="008C5C63" w:rsidRPr="000208A9" w:rsidRDefault="008C5C63" w:rsidP="002A427E">
            <w:pPr>
              <w:jc w:val="center"/>
              <w:rPr>
                <w:rFonts w:cs="Arial"/>
                <w:b/>
                <w:szCs w:val="24"/>
              </w:rPr>
            </w:pPr>
            <w:r w:rsidRPr="000208A9">
              <w:rPr>
                <w:rFonts w:cs="Arial"/>
                <w:b/>
                <w:szCs w:val="24"/>
              </w:rPr>
              <w:t>Contents</w:t>
            </w:r>
          </w:p>
        </w:tc>
        <w:tc>
          <w:tcPr>
            <w:tcW w:w="992" w:type="dxa"/>
          </w:tcPr>
          <w:p w14:paraId="6A71276A" w14:textId="77777777" w:rsidR="008C5C63" w:rsidRPr="000208A9" w:rsidRDefault="008C5C63" w:rsidP="002A427E">
            <w:pPr>
              <w:jc w:val="center"/>
              <w:rPr>
                <w:rFonts w:cs="Arial"/>
                <w:b/>
                <w:szCs w:val="24"/>
              </w:rPr>
            </w:pPr>
            <w:r w:rsidRPr="000208A9">
              <w:rPr>
                <w:rFonts w:cs="Arial"/>
                <w:b/>
                <w:szCs w:val="24"/>
              </w:rPr>
              <w:t>Page</w:t>
            </w:r>
          </w:p>
        </w:tc>
      </w:tr>
      <w:tr w:rsidR="008C5C63" w:rsidRPr="000208A9" w14:paraId="71CE2805" w14:textId="77777777" w:rsidTr="009A13F0">
        <w:tc>
          <w:tcPr>
            <w:tcW w:w="1101" w:type="dxa"/>
          </w:tcPr>
          <w:p w14:paraId="71BB48F8" w14:textId="77777777" w:rsidR="008C5C63" w:rsidRPr="000208A9" w:rsidRDefault="008C5C63" w:rsidP="002A427E">
            <w:pPr>
              <w:rPr>
                <w:rFonts w:cs="Arial"/>
                <w:szCs w:val="24"/>
              </w:rPr>
            </w:pPr>
            <w:r w:rsidRPr="000208A9">
              <w:rPr>
                <w:rFonts w:cs="Arial"/>
                <w:szCs w:val="24"/>
              </w:rPr>
              <w:t>1</w:t>
            </w:r>
          </w:p>
        </w:tc>
        <w:tc>
          <w:tcPr>
            <w:tcW w:w="7087" w:type="dxa"/>
          </w:tcPr>
          <w:p w14:paraId="38EB5538" w14:textId="77777777" w:rsidR="008C5C63" w:rsidRPr="000208A9" w:rsidRDefault="008C5C63" w:rsidP="002A427E">
            <w:pPr>
              <w:rPr>
                <w:rFonts w:cs="Arial"/>
                <w:szCs w:val="24"/>
              </w:rPr>
            </w:pPr>
            <w:r w:rsidRPr="000208A9">
              <w:rPr>
                <w:rFonts w:cs="Arial"/>
                <w:szCs w:val="24"/>
              </w:rPr>
              <w:t>Introduction</w:t>
            </w:r>
          </w:p>
        </w:tc>
        <w:tc>
          <w:tcPr>
            <w:tcW w:w="992" w:type="dxa"/>
          </w:tcPr>
          <w:p w14:paraId="37311A63" w14:textId="77777777" w:rsidR="008C5C63" w:rsidRPr="000208A9" w:rsidRDefault="008C5C63" w:rsidP="002A427E">
            <w:pPr>
              <w:jc w:val="center"/>
              <w:rPr>
                <w:rFonts w:cs="Arial"/>
                <w:szCs w:val="24"/>
              </w:rPr>
            </w:pPr>
            <w:r w:rsidRPr="000208A9">
              <w:rPr>
                <w:rFonts w:cs="Arial"/>
                <w:szCs w:val="24"/>
              </w:rPr>
              <w:t>2</w:t>
            </w:r>
          </w:p>
        </w:tc>
      </w:tr>
      <w:tr w:rsidR="008C5C63" w:rsidRPr="000208A9" w14:paraId="7E640764" w14:textId="77777777" w:rsidTr="009A13F0">
        <w:tc>
          <w:tcPr>
            <w:tcW w:w="1101" w:type="dxa"/>
          </w:tcPr>
          <w:p w14:paraId="0CE242C7" w14:textId="77777777" w:rsidR="008C5C63" w:rsidRPr="000208A9" w:rsidRDefault="008C5C63" w:rsidP="002A427E">
            <w:pPr>
              <w:rPr>
                <w:rFonts w:cs="Arial"/>
                <w:szCs w:val="24"/>
              </w:rPr>
            </w:pPr>
            <w:r w:rsidRPr="000208A9">
              <w:rPr>
                <w:rFonts w:cs="Arial"/>
                <w:szCs w:val="24"/>
              </w:rPr>
              <w:t>2</w:t>
            </w:r>
          </w:p>
        </w:tc>
        <w:tc>
          <w:tcPr>
            <w:tcW w:w="7087" w:type="dxa"/>
          </w:tcPr>
          <w:p w14:paraId="5F28829D" w14:textId="77777777" w:rsidR="008C5C63" w:rsidRPr="000208A9" w:rsidRDefault="008C5C63" w:rsidP="002A427E">
            <w:pPr>
              <w:rPr>
                <w:rFonts w:cs="Arial"/>
                <w:szCs w:val="24"/>
              </w:rPr>
            </w:pPr>
            <w:r w:rsidRPr="000208A9">
              <w:rPr>
                <w:rFonts w:cs="Arial"/>
                <w:szCs w:val="24"/>
              </w:rPr>
              <w:t>Purpose</w:t>
            </w:r>
          </w:p>
        </w:tc>
        <w:tc>
          <w:tcPr>
            <w:tcW w:w="992" w:type="dxa"/>
          </w:tcPr>
          <w:p w14:paraId="3027B553" w14:textId="77777777" w:rsidR="008C5C63" w:rsidRPr="000208A9" w:rsidRDefault="00037771" w:rsidP="002A427E">
            <w:pPr>
              <w:jc w:val="center"/>
              <w:rPr>
                <w:rFonts w:cs="Arial"/>
                <w:szCs w:val="24"/>
              </w:rPr>
            </w:pPr>
            <w:r>
              <w:rPr>
                <w:rFonts w:cs="Arial"/>
                <w:szCs w:val="24"/>
              </w:rPr>
              <w:t>3</w:t>
            </w:r>
          </w:p>
        </w:tc>
      </w:tr>
      <w:tr w:rsidR="008C5C63" w:rsidRPr="000208A9" w14:paraId="102D82A1" w14:textId="77777777" w:rsidTr="009A13F0">
        <w:tc>
          <w:tcPr>
            <w:tcW w:w="1101" w:type="dxa"/>
          </w:tcPr>
          <w:p w14:paraId="5E7C8A27" w14:textId="77777777" w:rsidR="008C5C63" w:rsidRPr="000208A9" w:rsidRDefault="008C5C63" w:rsidP="002A427E">
            <w:pPr>
              <w:rPr>
                <w:rFonts w:cs="Arial"/>
                <w:szCs w:val="24"/>
              </w:rPr>
            </w:pPr>
            <w:r w:rsidRPr="000208A9">
              <w:rPr>
                <w:rFonts w:cs="Arial"/>
                <w:szCs w:val="24"/>
              </w:rPr>
              <w:t>3</w:t>
            </w:r>
          </w:p>
          <w:p w14:paraId="6ACCD9B3" w14:textId="77777777" w:rsidR="008C5C63" w:rsidRPr="000208A9" w:rsidRDefault="008C5C63" w:rsidP="002A427E">
            <w:pPr>
              <w:rPr>
                <w:rFonts w:cs="Arial"/>
                <w:szCs w:val="24"/>
              </w:rPr>
            </w:pPr>
            <w:r w:rsidRPr="000208A9">
              <w:rPr>
                <w:rFonts w:cs="Arial"/>
                <w:szCs w:val="24"/>
              </w:rPr>
              <w:t xml:space="preserve">  3.1</w:t>
            </w:r>
          </w:p>
          <w:p w14:paraId="4FC89892" w14:textId="77777777" w:rsidR="008C5C63" w:rsidRPr="000208A9" w:rsidRDefault="008C5C63" w:rsidP="002A427E">
            <w:pPr>
              <w:rPr>
                <w:rFonts w:cs="Arial"/>
                <w:szCs w:val="24"/>
              </w:rPr>
            </w:pPr>
            <w:r w:rsidRPr="000208A9">
              <w:rPr>
                <w:rFonts w:cs="Arial"/>
                <w:szCs w:val="24"/>
              </w:rPr>
              <w:t xml:space="preserve">  3.2</w:t>
            </w:r>
          </w:p>
        </w:tc>
        <w:tc>
          <w:tcPr>
            <w:tcW w:w="7087" w:type="dxa"/>
          </w:tcPr>
          <w:p w14:paraId="5D91EC48" w14:textId="77777777" w:rsidR="008C5C63" w:rsidRPr="000208A9" w:rsidRDefault="008C5C63" w:rsidP="002A427E">
            <w:pPr>
              <w:rPr>
                <w:rFonts w:cs="Arial"/>
                <w:szCs w:val="24"/>
              </w:rPr>
            </w:pPr>
            <w:r w:rsidRPr="000208A9">
              <w:rPr>
                <w:rFonts w:cs="Arial"/>
                <w:szCs w:val="24"/>
              </w:rPr>
              <w:t>Roles and Responsibilities</w:t>
            </w:r>
          </w:p>
          <w:p w14:paraId="42227ECA" w14:textId="77777777" w:rsidR="008C5C63" w:rsidRPr="000208A9" w:rsidRDefault="008C5C63" w:rsidP="002A427E">
            <w:pPr>
              <w:rPr>
                <w:rFonts w:cs="Arial"/>
                <w:szCs w:val="24"/>
              </w:rPr>
            </w:pPr>
            <w:r w:rsidRPr="000208A9">
              <w:rPr>
                <w:rFonts w:cs="Arial"/>
                <w:szCs w:val="24"/>
              </w:rPr>
              <w:t>Duties with the Organisation</w:t>
            </w:r>
          </w:p>
          <w:p w14:paraId="4066F628" w14:textId="77777777" w:rsidR="008C5C63" w:rsidRPr="000208A9" w:rsidRDefault="008C5C63" w:rsidP="002A427E">
            <w:pPr>
              <w:rPr>
                <w:rFonts w:cs="Arial"/>
                <w:szCs w:val="24"/>
              </w:rPr>
            </w:pPr>
            <w:r w:rsidRPr="000208A9">
              <w:rPr>
                <w:rFonts w:cs="Arial"/>
                <w:szCs w:val="24"/>
              </w:rPr>
              <w:t>Specific to this SOP</w:t>
            </w:r>
          </w:p>
        </w:tc>
        <w:tc>
          <w:tcPr>
            <w:tcW w:w="992" w:type="dxa"/>
          </w:tcPr>
          <w:p w14:paraId="48FE3027" w14:textId="77777777" w:rsidR="008C5C63" w:rsidRPr="000208A9" w:rsidRDefault="00037771" w:rsidP="002A427E">
            <w:pPr>
              <w:jc w:val="center"/>
              <w:rPr>
                <w:rFonts w:cs="Arial"/>
                <w:szCs w:val="24"/>
              </w:rPr>
            </w:pPr>
            <w:r>
              <w:rPr>
                <w:rFonts w:cs="Arial"/>
                <w:szCs w:val="24"/>
              </w:rPr>
              <w:t>3</w:t>
            </w:r>
          </w:p>
          <w:p w14:paraId="5A8A16EB" w14:textId="77777777" w:rsidR="008C5C63" w:rsidRPr="000208A9" w:rsidRDefault="00037771" w:rsidP="002A427E">
            <w:pPr>
              <w:jc w:val="center"/>
              <w:rPr>
                <w:rFonts w:cs="Arial"/>
                <w:szCs w:val="24"/>
              </w:rPr>
            </w:pPr>
            <w:r>
              <w:rPr>
                <w:rFonts w:cs="Arial"/>
                <w:szCs w:val="24"/>
              </w:rPr>
              <w:t>3</w:t>
            </w:r>
          </w:p>
          <w:p w14:paraId="7E9E0B89" w14:textId="77777777" w:rsidR="008C5C63" w:rsidRPr="000208A9" w:rsidRDefault="00037771" w:rsidP="002A427E">
            <w:pPr>
              <w:jc w:val="center"/>
              <w:rPr>
                <w:rFonts w:cs="Arial"/>
                <w:szCs w:val="24"/>
              </w:rPr>
            </w:pPr>
            <w:r>
              <w:rPr>
                <w:rFonts w:cs="Arial"/>
                <w:szCs w:val="24"/>
              </w:rPr>
              <w:t>4</w:t>
            </w:r>
          </w:p>
        </w:tc>
      </w:tr>
      <w:tr w:rsidR="008C5C63" w:rsidRPr="000208A9" w14:paraId="0414F559" w14:textId="77777777" w:rsidTr="009A13F0">
        <w:tc>
          <w:tcPr>
            <w:tcW w:w="1101" w:type="dxa"/>
          </w:tcPr>
          <w:p w14:paraId="3CF917B5" w14:textId="77777777" w:rsidR="001A319B" w:rsidRDefault="008C5C63" w:rsidP="002A427E">
            <w:pPr>
              <w:rPr>
                <w:rFonts w:cs="Arial"/>
                <w:szCs w:val="24"/>
              </w:rPr>
            </w:pPr>
            <w:r w:rsidRPr="000208A9">
              <w:rPr>
                <w:rFonts w:cs="Arial"/>
                <w:szCs w:val="24"/>
              </w:rPr>
              <w:t>4</w:t>
            </w:r>
          </w:p>
          <w:p w14:paraId="3B0F3D97" w14:textId="77777777" w:rsidR="00D67A65" w:rsidRDefault="00D67A65" w:rsidP="00CB301B">
            <w:pPr>
              <w:ind w:left="142" w:right="34"/>
              <w:rPr>
                <w:rFonts w:cs="Arial"/>
                <w:szCs w:val="24"/>
              </w:rPr>
            </w:pPr>
          </w:p>
          <w:p w14:paraId="52BAA498" w14:textId="77777777" w:rsidR="000C4717" w:rsidRDefault="000C4717" w:rsidP="00CB301B">
            <w:pPr>
              <w:ind w:left="142" w:right="34"/>
              <w:rPr>
                <w:rFonts w:cs="Arial"/>
                <w:szCs w:val="24"/>
              </w:rPr>
            </w:pPr>
            <w:r>
              <w:rPr>
                <w:rFonts w:cs="Arial"/>
                <w:szCs w:val="24"/>
              </w:rPr>
              <w:t>4.1</w:t>
            </w:r>
          </w:p>
          <w:p w14:paraId="5D4933C8" w14:textId="77777777" w:rsidR="000C4717" w:rsidRDefault="000C4717" w:rsidP="00CB301B">
            <w:pPr>
              <w:tabs>
                <w:tab w:val="left" w:pos="142"/>
                <w:tab w:val="left" w:pos="645"/>
              </w:tabs>
              <w:ind w:left="142"/>
              <w:rPr>
                <w:rFonts w:cs="Arial"/>
                <w:szCs w:val="24"/>
              </w:rPr>
            </w:pPr>
            <w:r>
              <w:rPr>
                <w:rFonts w:cs="Arial"/>
                <w:szCs w:val="24"/>
              </w:rPr>
              <w:t>4.2</w:t>
            </w:r>
          </w:p>
          <w:p w14:paraId="5C547451" w14:textId="77777777" w:rsidR="000C4717" w:rsidRDefault="000C4717" w:rsidP="00CB301B">
            <w:pPr>
              <w:tabs>
                <w:tab w:val="left" w:pos="142"/>
                <w:tab w:val="left" w:pos="645"/>
              </w:tabs>
              <w:ind w:left="142"/>
              <w:rPr>
                <w:rFonts w:cs="Arial"/>
                <w:szCs w:val="24"/>
              </w:rPr>
            </w:pPr>
            <w:r>
              <w:rPr>
                <w:rFonts w:cs="Arial"/>
                <w:szCs w:val="24"/>
              </w:rPr>
              <w:t>4.3</w:t>
            </w:r>
          </w:p>
          <w:p w14:paraId="2EFF4083" w14:textId="77777777" w:rsidR="000C4717" w:rsidRDefault="000C4717" w:rsidP="00CB301B">
            <w:pPr>
              <w:tabs>
                <w:tab w:val="left" w:pos="142"/>
                <w:tab w:val="left" w:pos="645"/>
              </w:tabs>
              <w:ind w:left="142"/>
              <w:rPr>
                <w:rFonts w:cs="Arial"/>
                <w:szCs w:val="24"/>
              </w:rPr>
            </w:pPr>
            <w:r>
              <w:rPr>
                <w:rFonts w:cs="Arial"/>
                <w:szCs w:val="24"/>
              </w:rPr>
              <w:t>4.4</w:t>
            </w:r>
          </w:p>
          <w:p w14:paraId="115AA973" w14:textId="77777777" w:rsidR="0081204E" w:rsidRDefault="0081204E" w:rsidP="00CB301B">
            <w:pPr>
              <w:tabs>
                <w:tab w:val="left" w:pos="142"/>
                <w:tab w:val="left" w:pos="645"/>
              </w:tabs>
              <w:ind w:left="142"/>
              <w:rPr>
                <w:rFonts w:cs="Arial"/>
                <w:szCs w:val="24"/>
              </w:rPr>
            </w:pPr>
          </w:p>
          <w:p w14:paraId="5E235BAB" w14:textId="77777777" w:rsidR="000C4717" w:rsidRDefault="000C4717" w:rsidP="00CB301B">
            <w:pPr>
              <w:tabs>
                <w:tab w:val="left" w:pos="142"/>
                <w:tab w:val="left" w:pos="645"/>
              </w:tabs>
              <w:ind w:left="142"/>
              <w:rPr>
                <w:rFonts w:cs="Arial"/>
                <w:szCs w:val="24"/>
              </w:rPr>
            </w:pPr>
            <w:r>
              <w:rPr>
                <w:rFonts w:cs="Arial"/>
                <w:szCs w:val="24"/>
              </w:rPr>
              <w:t>4.5</w:t>
            </w:r>
          </w:p>
          <w:p w14:paraId="0D80A67C" w14:textId="77777777" w:rsidR="000C4717" w:rsidRDefault="000C4717" w:rsidP="00CB301B">
            <w:pPr>
              <w:tabs>
                <w:tab w:val="left" w:pos="142"/>
                <w:tab w:val="left" w:pos="645"/>
              </w:tabs>
              <w:ind w:left="142"/>
              <w:rPr>
                <w:rFonts w:cs="Arial"/>
                <w:szCs w:val="24"/>
              </w:rPr>
            </w:pPr>
            <w:r>
              <w:rPr>
                <w:rFonts w:cs="Arial"/>
                <w:szCs w:val="24"/>
              </w:rPr>
              <w:t>4.6</w:t>
            </w:r>
          </w:p>
          <w:p w14:paraId="1B7FA416" w14:textId="77777777" w:rsidR="0000702A" w:rsidRDefault="000C4717" w:rsidP="0000702A">
            <w:pPr>
              <w:tabs>
                <w:tab w:val="left" w:pos="142"/>
                <w:tab w:val="left" w:pos="645"/>
              </w:tabs>
              <w:ind w:left="142"/>
              <w:rPr>
                <w:rFonts w:cs="Arial"/>
                <w:szCs w:val="24"/>
              </w:rPr>
            </w:pPr>
            <w:r>
              <w:rPr>
                <w:rFonts w:cs="Arial"/>
                <w:szCs w:val="24"/>
              </w:rPr>
              <w:t>4.7</w:t>
            </w:r>
          </w:p>
          <w:p w14:paraId="0AC6ACF2" w14:textId="77777777" w:rsidR="00D67A65" w:rsidRDefault="000C4717" w:rsidP="0000702A">
            <w:pPr>
              <w:tabs>
                <w:tab w:val="left" w:pos="142"/>
              </w:tabs>
              <w:ind w:left="142"/>
              <w:rPr>
                <w:rFonts w:cs="Arial"/>
                <w:szCs w:val="24"/>
              </w:rPr>
            </w:pPr>
            <w:r>
              <w:rPr>
                <w:rFonts w:cs="Arial"/>
                <w:szCs w:val="24"/>
              </w:rPr>
              <w:t>4.8</w:t>
            </w:r>
          </w:p>
          <w:p w14:paraId="02E5884D" w14:textId="77777777" w:rsidR="001514A8" w:rsidRPr="000208A9" w:rsidRDefault="001514A8" w:rsidP="0000702A">
            <w:pPr>
              <w:tabs>
                <w:tab w:val="left" w:pos="142"/>
              </w:tabs>
              <w:ind w:left="142"/>
              <w:rPr>
                <w:rFonts w:cs="Arial"/>
                <w:szCs w:val="24"/>
              </w:rPr>
            </w:pPr>
            <w:r>
              <w:rPr>
                <w:rFonts w:cs="Arial"/>
                <w:szCs w:val="24"/>
              </w:rPr>
              <w:t>4.9</w:t>
            </w:r>
          </w:p>
        </w:tc>
        <w:tc>
          <w:tcPr>
            <w:tcW w:w="7087" w:type="dxa"/>
          </w:tcPr>
          <w:p w14:paraId="3AAA90EB" w14:textId="77777777" w:rsidR="008C5C63" w:rsidRDefault="00171E3F" w:rsidP="000208A9">
            <w:pPr>
              <w:rPr>
                <w:rFonts w:cs="Arial"/>
                <w:szCs w:val="24"/>
              </w:rPr>
            </w:pPr>
            <w:r>
              <w:rPr>
                <w:rFonts w:cs="Arial"/>
                <w:szCs w:val="24"/>
              </w:rPr>
              <w:t>Definitions and Classification of Adverse Events and Device Effects</w:t>
            </w:r>
          </w:p>
          <w:p w14:paraId="3C8661E3" w14:textId="77777777" w:rsidR="00171E3F" w:rsidRDefault="00171E3F" w:rsidP="0050725D">
            <w:pPr>
              <w:ind w:left="317"/>
              <w:rPr>
                <w:rFonts w:cs="Arial"/>
                <w:szCs w:val="24"/>
              </w:rPr>
            </w:pPr>
            <w:r>
              <w:rPr>
                <w:rFonts w:cs="Arial"/>
                <w:szCs w:val="24"/>
              </w:rPr>
              <w:t>Adverse Event (AE)</w:t>
            </w:r>
          </w:p>
          <w:p w14:paraId="0A661C22" w14:textId="77777777" w:rsidR="00171E3F" w:rsidRDefault="00171E3F" w:rsidP="0050725D">
            <w:pPr>
              <w:ind w:left="317"/>
              <w:rPr>
                <w:rFonts w:cs="Arial"/>
                <w:szCs w:val="24"/>
              </w:rPr>
            </w:pPr>
            <w:r>
              <w:rPr>
                <w:rFonts w:cs="Arial"/>
                <w:szCs w:val="24"/>
              </w:rPr>
              <w:t>Adverse Device Effect (ADE)</w:t>
            </w:r>
          </w:p>
          <w:p w14:paraId="0A51EF97" w14:textId="77777777" w:rsidR="00171E3F" w:rsidRDefault="00171E3F" w:rsidP="0050725D">
            <w:pPr>
              <w:ind w:left="317"/>
              <w:rPr>
                <w:rFonts w:cs="Arial"/>
                <w:szCs w:val="24"/>
              </w:rPr>
            </w:pPr>
            <w:r>
              <w:rPr>
                <w:rFonts w:cs="Arial"/>
                <w:szCs w:val="24"/>
              </w:rPr>
              <w:t>Un</w:t>
            </w:r>
            <w:r w:rsidR="00E46BF3">
              <w:rPr>
                <w:rFonts w:cs="Arial"/>
                <w:szCs w:val="24"/>
              </w:rPr>
              <w:t>anticipated</w:t>
            </w:r>
            <w:r>
              <w:rPr>
                <w:rFonts w:cs="Arial"/>
                <w:szCs w:val="24"/>
              </w:rPr>
              <w:t xml:space="preserve"> Adverse Device Effect (UADE)</w:t>
            </w:r>
          </w:p>
          <w:p w14:paraId="04611FEB" w14:textId="77777777" w:rsidR="00171E3F" w:rsidRDefault="00171E3F" w:rsidP="0050725D">
            <w:pPr>
              <w:ind w:left="317"/>
              <w:rPr>
                <w:rFonts w:cs="Arial"/>
                <w:szCs w:val="24"/>
              </w:rPr>
            </w:pPr>
            <w:r>
              <w:rPr>
                <w:rFonts w:cs="Arial"/>
                <w:szCs w:val="24"/>
              </w:rPr>
              <w:t>Serious Adverse Event (SAE)</w:t>
            </w:r>
            <w:r w:rsidR="0081204E">
              <w:rPr>
                <w:rFonts w:cs="Arial"/>
                <w:szCs w:val="24"/>
              </w:rPr>
              <w:t xml:space="preserve"> and </w:t>
            </w:r>
            <w:r>
              <w:rPr>
                <w:rFonts w:cs="Arial"/>
                <w:szCs w:val="24"/>
              </w:rPr>
              <w:t>Serious Adverse Device Effect (SADE)</w:t>
            </w:r>
          </w:p>
          <w:p w14:paraId="1D12265B" w14:textId="77777777" w:rsidR="00171E3F" w:rsidRDefault="00171E3F" w:rsidP="0050725D">
            <w:pPr>
              <w:ind w:left="317"/>
              <w:rPr>
                <w:rFonts w:cs="Arial"/>
                <w:szCs w:val="24"/>
              </w:rPr>
            </w:pPr>
            <w:r>
              <w:rPr>
                <w:rFonts w:cs="Arial"/>
                <w:szCs w:val="24"/>
              </w:rPr>
              <w:t>Un</w:t>
            </w:r>
            <w:r w:rsidR="00E46BF3">
              <w:rPr>
                <w:rFonts w:cs="Arial"/>
                <w:szCs w:val="24"/>
              </w:rPr>
              <w:t xml:space="preserve">anticipated </w:t>
            </w:r>
            <w:r>
              <w:rPr>
                <w:rFonts w:cs="Arial"/>
                <w:szCs w:val="24"/>
              </w:rPr>
              <w:t>Serious Adverse Device Effect (USADE)</w:t>
            </w:r>
          </w:p>
          <w:p w14:paraId="5C563C6F" w14:textId="77777777" w:rsidR="001514A8" w:rsidRDefault="001514A8" w:rsidP="0050725D">
            <w:pPr>
              <w:ind w:left="317"/>
              <w:rPr>
                <w:rFonts w:cs="Arial"/>
                <w:szCs w:val="24"/>
              </w:rPr>
            </w:pPr>
            <w:r>
              <w:rPr>
                <w:rFonts w:cs="Arial"/>
                <w:szCs w:val="24"/>
              </w:rPr>
              <w:t>Device Deficiency</w:t>
            </w:r>
          </w:p>
          <w:p w14:paraId="7359642F" w14:textId="77777777" w:rsidR="00171E3F" w:rsidRDefault="00171E3F" w:rsidP="0050725D">
            <w:pPr>
              <w:ind w:left="317"/>
              <w:rPr>
                <w:rFonts w:cs="Arial"/>
                <w:szCs w:val="24"/>
              </w:rPr>
            </w:pPr>
            <w:r>
              <w:rPr>
                <w:rFonts w:cs="Arial"/>
                <w:szCs w:val="24"/>
              </w:rPr>
              <w:t>Severity</w:t>
            </w:r>
          </w:p>
          <w:p w14:paraId="47655490" w14:textId="77777777" w:rsidR="00171E3F" w:rsidRDefault="0000702A" w:rsidP="0050725D">
            <w:pPr>
              <w:ind w:left="317"/>
              <w:rPr>
                <w:rFonts w:cs="Arial"/>
                <w:szCs w:val="24"/>
              </w:rPr>
            </w:pPr>
            <w:r>
              <w:rPr>
                <w:rFonts w:cs="Arial"/>
                <w:szCs w:val="24"/>
              </w:rPr>
              <w:t>Causality Assessment Activities</w:t>
            </w:r>
          </w:p>
          <w:p w14:paraId="1569EAF6" w14:textId="77777777" w:rsidR="00CB301B" w:rsidRPr="000208A9" w:rsidRDefault="00171E3F" w:rsidP="0050725D">
            <w:pPr>
              <w:ind w:left="317"/>
              <w:rPr>
                <w:rFonts w:cs="Arial"/>
                <w:szCs w:val="24"/>
              </w:rPr>
            </w:pPr>
            <w:r>
              <w:rPr>
                <w:rFonts w:cs="Arial"/>
                <w:szCs w:val="24"/>
              </w:rPr>
              <w:t>Classification of Adverse Events and Device Effects</w:t>
            </w:r>
          </w:p>
        </w:tc>
        <w:tc>
          <w:tcPr>
            <w:tcW w:w="992" w:type="dxa"/>
          </w:tcPr>
          <w:p w14:paraId="1B67A042" w14:textId="77777777" w:rsidR="0064217F" w:rsidRDefault="0064217F" w:rsidP="0064217F">
            <w:pPr>
              <w:jc w:val="center"/>
              <w:rPr>
                <w:rFonts w:cs="Arial"/>
                <w:szCs w:val="24"/>
              </w:rPr>
            </w:pPr>
            <w:r>
              <w:rPr>
                <w:rFonts w:cs="Arial"/>
                <w:szCs w:val="24"/>
              </w:rPr>
              <w:t>5</w:t>
            </w:r>
          </w:p>
          <w:p w14:paraId="717BC2FD" w14:textId="77777777" w:rsidR="0064217F" w:rsidRDefault="0064217F" w:rsidP="0064217F">
            <w:pPr>
              <w:jc w:val="center"/>
              <w:rPr>
                <w:rFonts w:cs="Arial"/>
                <w:szCs w:val="24"/>
              </w:rPr>
            </w:pPr>
          </w:p>
          <w:p w14:paraId="33F45AE6" w14:textId="77777777" w:rsidR="0064217F" w:rsidRDefault="0064217F" w:rsidP="0064217F">
            <w:pPr>
              <w:jc w:val="center"/>
              <w:rPr>
                <w:rFonts w:cs="Arial"/>
                <w:szCs w:val="24"/>
              </w:rPr>
            </w:pPr>
            <w:r>
              <w:rPr>
                <w:rFonts w:cs="Arial"/>
                <w:szCs w:val="24"/>
              </w:rPr>
              <w:t>5</w:t>
            </w:r>
          </w:p>
          <w:p w14:paraId="404FEE1D" w14:textId="77777777" w:rsidR="0064217F" w:rsidRDefault="0064217F" w:rsidP="0064217F">
            <w:pPr>
              <w:jc w:val="center"/>
              <w:rPr>
                <w:rFonts w:cs="Arial"/>
                <w:szCs w:val="24"/>
              </w:rPr>
            </w:pPr>
            <w:r>
              <w:rPr>
                <w:rFonts w:cs="Arial"/>
                <w:szCs w:val="24"/>
              </w:rPr>
              <w:t>5</w:t>
            </w:r>
          </w:p>
          <w:p w14:paraId="556EB017" w14:textId="77777777" w:rsidR="0064217F" w:rsidRDefault="0064217F" w:rsidP="0064217F">
            <w:pPr>
              <w:jc w:val="center"/>
              <w:rPr>
                <w:rFonts w:cs="Arial"/>
                <w:szCs w:val="24"/>
              </w:rPr>
            </w:pPr>
            <w:r>
              <w:rPr>
                <w:rFonts w:cs="Arial"/>
                <w:szCs w:val="24"/>
              </w:rPr>
              <w:t>6</w:t>
            </w:r>
          </w:p>
          <w:p w14:paraId="12664F3B" w14:textId="77777777" w:rsidR="0064217F" w:rsidRDefault="0064217F" w:rsidP="0064217F">
            <w:pPr>
              <w:jc w:val="center"/>
              <w:rPr>
                <w:rFonts w:cs="Arial"/>
                <w:szCs w:val="24"/>
              </w:rPr>
            </w:pPr>
            <w:r>
              <w:rPr>
                <w:rFonts w:cs="Arial"/>
                <w:szCs w:val="24"/>
              </w:rPr>
              <w:t>6</w:t>
            </w:r>
          </w:p>
          <w:p w14:paraId="79FA3AFC" w14:textId="77777777" w:rsidR="0064217F" w:rsidRDefault="0064217F" w:rsidP="0064217F">
            <w:pPr>
              <w:jc w:val="center"/>
              <w:rPr>
                <w:rFonts w:cs="Arial"/>
                <w:szCs w:val="24"/>
              </w:rPr>
            </w:pPr>
          </w:p>
          <w:p w14:paraId="0FB5CA5D" w14:textId="77777777" w:rsidR="0064217F" w:rsidRDefault="0064217F" w:rsidP="0064217F">
            <w:pPr>
              <w:jc w:val="center"/>
              <w:rPr>
                <w:rFonts w:cs="Arial"/>
                <w:szCs w:val="24"/>
              </w:rPr>
            </w:pPr>
            <w:r>
              <w:rPr>
                <w:rFonts w:cs="Arial"/>
                <w:szCs w:val="24"/>
              </w:rPr>
              <w:t>7</w:t>
            </w:r>
          </w:p>
          <w:p w14:paraId="4C210C27" w14:textId="77777777" w:rsidR="0064217F" w:rsidRDefault="0064217F" w:rsidP="0064217F">
            <w:pPr>
              <w:jc w:val="center"/>
              <w:rPr>
                <w:rFonts w:cs="Arial"/>
                <w:szCs w:val="24"/>
              </w:rPr>
            </w:pPr>
            <w:r>
              <w:rPr>
                <w:rFonts w:cs="Arial"/>
                <w:szCs w:val="24"/>
              </w:rPr>
              <w:t>7</w:t>
            </w:r>
          </w:p>
          <w:p w14:paraId="2ADC211E" w14:textId="77777777" w:rsidR="0064217F" w:rsidRDefault="0064217F" w:rsidP="0064217F">
            <w:pPr>
              <w:jc w:val="center"/>
              <w:rPr>
                <w:rFonts w:cs="Arial"/>
                <w:szCs w:val="24"/>
              </w:rPr>
            </w:pPr>
            <w:r>
              <w:rPr>
                <w:rFonts w:cs="Arial"/>
                <w:szCs w:val="24"/>
              </w:rPr>
              <w:t>7</w:t>
            </w:r>
          </w:p>
          <w:p w14:paraId="59EF336B" w14:textId="77777777" w:rsidR="0064217F" w:rsidRDefault="0064217F" w:rsidP="0064217F">
            <w:pPr>
              <w:jc w:val="center"/>
              <w:rPr>
                <w:rFonts w:cs="Arial"/>
                <w:szCs w:val="24"/>
              </w:rPr>
            </w:pPr>
            <w:r>
              <w:rPr>
                <w:rFonts w:cs="Arial"/>
                <w:szCs w:val="24"/>
              </w:rPr>
              <w:t>7</w:t>
            </w:r>
          </w:p>
          <w:p w14:paraId="48948090" w14:textId="77777777" w:rsidR="0064217F" w:rsidRPr="000208A9" w:rsidRDefault="0064217F" w:rsidP="0064217F">
            <w:pPr>
              <w:jc w:val="center"/>
              <w:rPr>
                <w:rFonts w:cs="Arial"/>
                <w:szCs w:val="24"/>
              </w:rPr>
            </w:pPr>
            <w:r>
              <w:rPr>
                <w:rFonts w:cs="Arial"/>
                <w:szCs w:val="24"/>
              </w:rPr>
              <w:t>7</w:t>
            </w:r>
          </w:p>
        </w:tc>
      </w:tr>
      <w:tr w:rsidR="00526486" w:rsidRPr="000208A9" w14:paraId="5F6E87F2" w14:textId="77777777" w:rsidTr="009A13F0">
        <w:tc>
          <w:tcPr>
            <w:tcW w:w="1101" w:type="dxa"/>
          </w:tcPr>
          <w:p w14:paraId="3315136D" w14:textId="77777777" w:rsidR="00526486" w:rsidRDefault="00526486" w:rsidP="002A427E">
            <w:pPr>
              <w:rPr>
                <w:rFonts w:cs="Arial"/>
                <w:szCs w:val="24"/>
              </w:rPr>
            </w:pPr>
            <w:r>
              <w:rPr>
                <w:rFonts w:cs="Arial"/>
                <w:szCs w:val="24"/>
              </w:rPr>
              <w:t>5</w:t>
            </w:r>
          </w:p>
          <w:p w14:paraId="4A970A00" w14:textId="77777777" w:rsidR="00CB301B" w:rsidRDefault="00CB301B" w:rsidP="00CB301B">
            <w:pPr>
              <w:ind w:left="142" w:right="-249"/>
              <w:rPr>
                <w:rFonts w:cs="Arial"/>
                <w:szCs w:val="24"/>
              </w:rPr>
            </w:pPr>
            <w:r>
              <w:rPr>
                <w:rFonts w:cs="Arial"/>
                <w:szCs w:val="24"/>
              </w:rPr>
              <w:t>5.1</w:t>
            </w:r>
          </w:p>
          <w:p w14:paraId="1F676DD4" w14:textId="77777777" w:rsidR="00077C6C" w:rsidRDefault="00077C6C" w:rsidP="00CB301B">
            <w:pPr>
              <w:ind w:left="142" w:right="-249"/>
              <w:rPr>
                <w:rFonts w:cs="Arial"/>
                <w:szCs w:val="24"/>
              </w:rPr>
            </w:pPr>
          </w:p>
          <w:p w14:paraId="5DED30F6" w14:textId="77777777" w:rsidR="00CB301B" w:rsidRDefault="00CB301B" w:rsidP="00CB301B">
            <w:pPr>
              <w:ind w:left="142" w:right="-249"/>
              <w:rPr>
                <w:rFonts w:cs="Arial"/>
                <w:szCs w:val="24"/>
              </w:rPr>
            </w:pPr>
            <w:r>
              <w:rPr>
                <w:rFonts w:cs="Arial"/>
                <w:szCs w:val="24"/>
              </w:rPr>
              <w:t>5.2</w:t>
            </w:r>
          </w:p>
          <w:p w14:paraId="6F7C2A20" w14:textId="77777777" w:rsidR="0050725D" w:rsidRDefault="0050725D" w:rsidP="00CB301B">
            <w:pPr>
              <w:ind w:left="142" w:right="-249"/>
              <w:rPr>
                <w:rFonts w:cs="Arial"/>
                <w:szCs w:val="24"/>
              </w:rPr>
            </w:pPr>
          </w:p>
          <w:p w14:paraId="096908E3" w14:textId="77777777" w:rsidR="00CB301B" w:rsidRDefault="00CB301B" w:rsidP="00CB301B">
            <w:pPr>
              <w:ind w:left="142" w:right="-249"/>
              <w:rPr>
                <w:rFonts w:cs="Arial"/>
                <w:szCs w:val="24"/>
              </w:rPr>
            </w:pPr>
            <w:r>
              <w:rPr>
                <w:rFonts w:cs="Arial"/>
                <w:szCs w:val="24"/>
              </w:rPr>
              <w:t>5.3</w:t>
            </w:r>
          </w:p>
          <w:p w14:paraId="1D86984D" w14:textId="77777777" w:rsidR="00CB301B" w:rsidRDefault="00CB301B" w:rsidP="00CB301B">
            <w:pPr>
              <w:ind w:left="142" w:right="-249"/>
              <w:rPr>
                <w:rFonts w:cs="Arial"/>
                <w:szCs w:val="24"/>
              </w:rPr>
            </w:pPr>
            <w:r>
              <w:rPr>
                <w:rFonts w:cs="Arial"/>
                <w:szCs w:val="24"/>
              </w:rPr>
              <w:t>5.4</w:t>
            </w:r>
          </w:p>
          <w:p w14:paraId="4F8D7F6A" w14:textId="77777777" w:rsidR="00CB301B" w:rsidRDefault="00CB301B" w:rsidP="00CB301B">
            <w:pPr>
              <w:ind w:left="142" w:right="-249"/>
              <w:rPr>
                <w:rFonts w:cs="Arial"/>
                <w:szCs w:val="24"/>
              </w:rPr>
            </w:pPr>
            <w:r>
              <w:rPr>
                <w:rFonts w:cs="Arial"/>
                <w:szCs w:val="24"/>
              </w:rPr>
              <w:t>5.5</w:t>
            </w:r>
          </w:p>
          <w:p w14:paraId="025DDD41" w14:textId="77777777" w:rsidR="00CB301B" w:rsidRDefault="00CB301B" w:rsidP="00CB301B">
            <w:pPr>
              <w:ind w:left="142" w:right="-249"/>
              <w:rPr>
                <w:rFonts w:cs="Arial"/>
                <w:szCs w:val="24"/>
              </w:rPr>
            </w:pPr>
            <w:r>
              <w:rPr>
                <w:rFonts w:cs="Arial"/>
                <w:szCs w:val="24"/>
              </w:rPr>
              <w:t>5.6</w:t>
            </w:r>
          </w:p>
          <w:p w14:paraId="65FDAE9F" w14:textId="77777777" w:rsidR="007555D9" w:rsidRPr="000208A9" w:rsidRDefault="00CB301B" w:rsidP="008C3BAE">
            <w:pPr>
              <w:ind w:left="142" w:right="-249"/>
              <w:rPr>
                <w:rFonts w:cs="Arial"/>
                <w:szCs w:val="24"/>
              </w:rPr>
            </w:pPr>
            <w:r>
              <w:rPr>
                <w:rFonts w:cs="Arial"/>
                <w:szCs w:val="24"/>
              </w:rPr>
              <w:t>5.7</w:t>
            </w:r>
          </w:p>
        </w:tc>
        <w:tc>
          <w:tcPr>
            <w:tcW w:w="7087" w:type="dxa"/>
          </w:tcPr>
          <w:p w14:paraId="502109D1" w14:textId="77777777" w:rsidR="00526486" w:rsidRDefault="00171E3F" w:rsidP="002A427E">
            <w:pPr>
              <w:rPr>
                <w:rFonts w:cs="Arial"/>
                <w:bCs/>
                <w:szCs w:val="24"/>
              </w:rPr>
            </w:pPr>
            <w:r w:rsidRPr="00171E3F">
              <w:rPr>
                <w:rFonts w:cs="Arial"/>
                <w:bCs/>
                <w:szCs w:val="24"/>
              </w:rPr>
              <w:t>Recording and Reporting Adverse Events and Device Effects</w:t>
            </w:r>
          </w:p>
          <w:p w14:paraId="1E8271AB" w14:textId="77777777" w:rsidR="00171E3F" w:rsidRDefault="00171E3F" w:rsidP="0050725D">
            <w:pPr>
              <w:ind w:left="317"/>
              <w:rPr>
                <w:rFonts w:cs="Arial"/>
                <w:szCs w:val="24"/>
              </w:rPr>
            </w:pPr>
            <w:r>
              <w:rPr>
                <w:rFonts w:cs="Arial"/>
                <w:szCs w:val="24"/>
              </w:rPr>
              <w:t>Adverse Event (AE)</w:t>
            </w:r>
            <w:r w:rsidR="00077C6C">
              <w:rPr>
                <w:rFonts w:cs="Arial"/>
                <w:szCs w:val="24"/>
              </w:rPr>
              <w:t xml:space="preserve">, </w:t>
            </w:r>
            <w:r>
              <w:rPr>
                <w:rFonts w:cs="Arial"/>
                <w:szCs w:val="24"/>
              </w:rPr>
              <w:t>Adverse Device Effect (ADE)</w:t>
            </w:r>
            <w:r w:rsidR="00077C6C">
              <w:rPr>
                <w:rFonts w:cs="Arial"/>
                <w:szCs w:val="24"/>
              </w:rPr>
              <w:t xml:space="preserve"> and </w:t>
            </w:r>
            <w:r>
              <w:rPr>
                <w:rFonts w:cs="Arial"/>
                <w:szCs w:val="24"/>
              </w:rPr>
              <w:t>Un</w:t>
            </w:r>
            <w:r w:rsidR="00E46BF3">
              <w:rPr>
                <w:rFonts w:cs="Arial"/>
                <w:szCs w:val="24"/>
              </w:rPr>
              <w:t>anticipated</w:t>
            </w:r>
            <w:r>
              <w:rPr>
                <w:rFonts w:cs="Arial"/>
                <w:szCs w:val="24"/>
              </w:rPr>
              <w:t xml:space="preserve"> Adverse Device Effect (UADE)</w:t>
            </w:r>
          </w:p>
          <w:p w14:paraId="0D4F5F54" w14:textId="77777777" w:rsidR="00171E3F" w:rsidRDefault="00171E3F" w:rsidP="0050725D">
            <w:pPr>
              <w:ind w:left="317"/>
              <w:rPr>
                <w:rFonts w:cs="Arial"/>
                <w:szCs w:val="24"/>
              </w:rPr>
            </w:pPr>
            <w:r>
              <w:rPr>
                <w:rFonts w:cs="Arial"/>
                <w:szCs w:val="24"/>
              </w:rPr>
              <w:t>Serious Adverse Event (SAE)</w:t>
            </w:r>
            <w:r w:rsidR="0050725D">
              <w:rPr>
                <w:rFonts w:cs="Arial"/>
                <w:szCs w:val="24"/>
              </w:rPr>
              <w:t xml:space="preserve"> and </w:t>
            </w:r>
            <w:r>
              <w:rPr>
                <w:rFonts w:cs="Arial"/>
                <w:szCs w:val="24"/>
              </w:rPr>
              <w:t>Serious Adverse Device Effect (SADE)</w:t>
            </w:r>
          </w:p>
          <w:p w14:paraId="3908C174" w14:textId="77777777" w:rsidR="00171E3F" w:rsidRDefault="00171E3F" w:rsidP="0050725D">
            <w:pPr>
              <w:ind w:left="317"/>
              <w:rPr>
                <w:rFonts w:cs="Arial"/>
                <w:szCs w:val="24"/>
              </w:rPr>
            </w:pPr>
            <w:r>
              <w:rPr>
                <w:rFonts w:cs="Arial"/>
                <w:szCs w:val="24"/>
              </w:rPr>
              <w:t>Un</w:t>
            </w:r>
            <w:r w:rsidR="00E46BF3">
              <w:rPr>
                <w:rFonts w:cs="Arial"/>
                <w:szCs w:val="24"/>
              </w:rPr>
              <w:t>anticipated</w:t>
            </w:r>
            <w:r>
              <w:rPr>
                <w:rFonts w:cs="Arial"/>
                <w:szCs w:val="24"/>
              </w:rPr>
              <w:t xml:space="preserve"> Serious Adverse Device Effect (USADE)</w:t>
            </w:r>
          </w:p>
          <w:p w14:paraId="1FF251DD" w14:textId="77777777" w:rsidR="007555D9" w:rsidRDefault="007555D9" w:rsidP="0050725D">
            <w:pPr>
              <w:ind w:left="317"/>
              <w:rPr>
                <w:rFonts w:cs="Arial"/>
                <w:szCs w:val="24"/>
              </w:rPr>
            </w:pPr>
            <w:r>
              <w:rPr>
                <w:rFonts w:cs="Arial"/>
                <w:szCs w:val="24"/>
              </w:rPr>
              <w:t>Device Deficiency</w:t>
            </w:r>
          </w:p>
          <w:p w14:paraId="2E3B5325" w14:textId="77777777" w:rsidR="00171E3F" w:rsidRDefault="00171E3F" w:rsidP="0050725D">
            <w:pPr>
              <w:ind w:left="317"/>
              <w:rPr>
                <w:rFonts w:cs="Arial"/>
                <w:szCs w:val="24"/>
              </w:rPr>
            </w:pPr>
            <w:r>
              <w:rPr>
                <w:rFonts w:cs="Arial"/>
                <w:szCs w:val="24"/>
              </w:rPr>
              <w:t>Urgent Safety Measures</w:t>
            </w:r>
          </w:p>
          <w:p w14:paraId="34F16D56" w14:textId="77777777" w:rsidR="00171E3F" w:rsidRDefault="00171E3F" w:rsidP="0050725D">
            <w:pPr>
              <w:ind w:left="317"/>
              <w:rPr>
                <w:rFonts w:cs="Arial"/>
                <w:szCs w:val="24"/>
              </w:rPr>
            </w:pPr>
            <w:r>
              <w:rPr>
                <w:rFonts w:cs="Arial"/>
                <w:szCs w:val="24"/>
              </w:rPr>
              <w:t>Reporting a Pregnancy in a Trial Subject or Partner</w:t>
            </w:r>
          </w:p>
          <w:p w14:paraId="2CFC4D3E" w14:textId="77777777" w:rsidR="001514A8" w:rsidRPr="000208A9" w:rsidRDefault="00171E3F" w:rsidP="007555D9">
            <w:pPr>
              <w:ind w:left="317"/>
              <w:rPr>
                <w:rFonts w:cs="Arial"/>
                <w:szCs w:val="24"/>
              </w:rPr>
            </w:pPr>
            <w:r>
              <w:rPr>
                <w:rFonts w:cs="Arial"/>
                <w:szCs w:val="24"/>
              </w:rPr>
              <w:t>Breaking the Blind</w:t>
            </w:r>
          </w:p>
        </w:tc>
        <w:tc>
          <w:tcPr>
            <w:tcW w:w="992" w:type="dxa"/>
          </w:tcPr>
          <w:p w14:paraId="662C048F" w14:textId="77777777" w:rsidR="00526486" w:rsidRDefault="0064217F" w:rsidP="002A427E">
            <w:pPr>
              <w:jc w:val="center"/>
              <w:rPr>
                <w:rFonts w:cs="Arial"/>
                <w:szCs w:val="24"/>
              </w:rPr>
            </w:pPr>
            <w:r>
              <w:rPr>
                <w:rFonts w:cs="Arial"/>
                <w:szCs w:val="24"/>
              </w:rPr>
              <w:t>8</w:t>
            </w:r>
          </w:p>
          <w:p w14:paraId="41B7D544" w14:textId="77777777" w:rsidR="0064217F" w:rsidRDefault="0064217F" w:rsidP="002A427E">
            <w:pPr>
              <w:jc w:val="center"/>
              <w:rPr>
                <w:rFonts w:cs="Arial"/>
                <w:szCs w:val="24"/>
              </w:rPr>
            </w:pPr>
            <w:r>
              <w:rPr>
                <w:rFonts w:cs="Arial"/>
                <w:szCs w:val="24"/>
              </w:rPr>
              <w:t>8</w:t>
            </w:r>
          </w:p>
          <w:p w14:paraId="447D5A15" w14:textId="77777777" w:rsidR="0064217F" w:rsidRDefault="0064217F" w:rsidP="002A427E">
            <w:pPr>
              <w:jc w:val="center"/>
              <w:rPr>
                <w:rFonts w:cs="Arial"/>
                <w:szCs w:val="24"/>
              </w:rPr>
            </w:pPr>
          </w:p>
          <w:p w14:paraId="17F5C34E" w14:textId="77777777" w:rsidR="0064217F" w:rsidRDefault="0064217F" w:rsidP="002A427E">
            <w:pPr>
              <w:jc w:val="center"/>
              <w:rPr>
                <w:rFonts w:cs="Arial"/>
                <w:szCs w:val="24"/>
              </w:rPr>
            </w:pPr>
            <w:r>
              <w:rPr>
                <w:rFonts w:cs="Arial"/>
                <w:szCs w:val="24"/>
              </w:rPr>
              <w:t>9</w:t>
            </w:r>
          </w:p>
          <w:p w14:paraId="4A523B7C" w14:textId="77777777" w:rsidR="0064217F" w:rsidRDefault="0064217F" w:rsidP="002A427E">
            <w:pPr>
              <w:jc w:val="center"/>
              <w:rPr>
                <w:rFonts w:cs="Arial"/>
                <w:szCs w:val="24"/>
              </w:rPr>
            </w:pPr>
          </w:p>
          <w:p w14:paraId="4FC0EE12" w14:textId="77777777" w:rsidR="0064217F" w:rsidRDefault="0064217F" w:rsidP="002A427E">
            <w:pPr>
              <w:jc w:val="center"/>
              <w:rPr>
                <w:rFonts w:cs="Arial"/>
                <w:szCs w:val="24"/>
              </w:rPr>
            </w:pPr>
            <w:r>
              <w:rPr>
                <w:rFonts w:cs="Arial"/>
                <w:szCs w:val="24"/>
              </w:rPr>
              <w:t>11</w:t>
            </w:r>
          </w:p>
          <w:p w14:paraId="377A0334" w14:textId="77777777" w:rsidR="0064217F" w:rsidRDefault="0064217F" w:rsidP="002A427E">
            <w:pPr>
              <w:jc w:val="center"/>
              <w:rPr>
                <w:rFonts w:cs="Arial"/>
                <w:szCs w:val="24"/>
              </w:rPr>
            </w:pPr>
            <w:r>
              <w:rPr>
                <w:rFonts w:cs="Arial"/>
                <w:szCs w:val="24"/>
              </w:rPr>
              <w:t>12</w:t>
            </w:r>
          </w:p>
          <w:p w14:paraId="5ED9B37C" w14:textId="77777777" w:rsidR="0064217F" w:rsidRDefault="0064217F" w:rsidP="002A427E">
            <w:pPr>
              <w:jc w:val="center"/>
              <w:rPr>
                <w:rFonts w:cs="Arial"/>
                <w:szCs w:val="24"/>
              </w:rPr>
            </w:pPr>
            <w:r>
              <w:rPr>
                <w:rFonts w:cs="Arial"/>
                <w:szCs w:val="24"/>
              </w:rPr>
              <w:t>13</w:t>
            </w:r>
          </w:p>
          <w:p w14:paraId="60C794D4" w14:textId="77777777" w:rsidR="0064217F" w:rsidRDefault="0064217F" w:rsidP="002A427E">
            <w:pPr>
              <w:jc w:val="center"/>
              <w:rPr>
                <w:rFonts w:cs="Arial"/>
                <w:szCs w:val="24"/>
              </w:rPr>
            </w:pPr>
            <w:r>
              <w:rPr>
                <w:rFonts w:cs="Arial"/>
                <w:szCs w:val="24"/>
              </w:rPr>
              <w:t>14</w:t>
            </w:r>
          </w:p>
          <w:p w14:paraId="63A581B9" w14:textId="77777777" w:rsidR="0064217F" w:rsidRPr="000208A9" w:rsidRDefault="0064217F" w:rsidP="002A427E">
            <w:pPr>
              <w:jc w:val="center"/>
              <w:rPr>
                <w:rFonts w:cs="Arial"/>
                <w:szCs w:val="24"/>
              </w:rPr>
            </w:pPr>
            <w:r>
              <w:rPr>
                <w:rFonts w:cs="Arial"/>
                <w:szCs w:val="24"/>
              </w:rPr>
              <w:t>14</w:t>
            </w:r>
          </w:p>
        </w:tc>
      </w:tr>
      <w:tr w:rsidR="008C5C63" w:rsidRPr="000208A9" w14:paraId="627EFB34" w14:textId="77777777" w:rsidTr="009A13F0">
        <w:tc>
          <w:tcPr>
            <w:tcW w:w="1101" w:type="dxa"/>
          </w:tcPr>
          <w:p w14:paraId="2E6244C7" w14:textId="77777777" w:rsidR="008C5C63" w:rsidRPr="000208A9" w:rsidRDefault="007555D9" w:rsidP="002A427E">
            <w:pPr>
              <w:rPr>
                <w:rFonts w:cs="Arial"/>
                <w:szCs w:val="24"/>
              </w:rPr>
            </w:pPr>
            <w:r>
              <w:rPr>
                <w:rFonts w:cs="Arial"/>
                <w:szCs w:val="24"/>
              </w:rPr>
              <w:t>6</w:t>
            </w:r>
          </w:p>
        </w:tc>
        <w:tc>
          <w:tcPr>
            <w:tcW w:w="7087" w:type="dxa"/>
          </w:tcPr>
          <w:p w14:paraId="0AF5556C" w14:textId="77777777" w:rsidR="008C5C63" w:rsidRPr="000208A9" w:rsidRDefault="008C5C63" w:rsidP="002A427E">
            <w:pPr>
              <w:rPr>
                <w:rFonts w:cs="Arial"/>
                <w:szCs w:val="24"/>
                <w:highlight w:val="yellow"/>
              </w:rPr>
            </w:pPr>
            <w:r w:rsidRPr="000208A9">
              <w:rPr>
                <w:rFonts w:cs="Arial"/>
                <w:bCs/>
                <w:szCs w:val="24"/>
              </w:rPr>
              <w:t>Equality Impact Assessment</w:t>
            </w:r>
          </w:p>
        </w:tc>
        <w:tc>
          <w:tcPr>
            <w:tcW w:w="992" w:type="dxa"/>
          </w:tcPr>
          <w:p w14:paraId="00DABC85" w14:textId="77777777" w:rsidR="008C5C63" w:rsidRPr="000208A9" w:rsidRDefault="0064217F" w:rsidP="00B958C1">
            <w:pPr>
              <w:jc w:val="center"/>
              <w:rPr>
                <w:rFonts w:cs="Arial"/>
                <w:szCs w:val="24"/>
              </w:rPr>
            </w:pPr>
            <w:r>
              <w:rPr>
                <w:rFonts w:cs="Arial"/>
                <w:szCs w:val="24"/>
              </w:rPr>
              <w:t>14</w:t>
            </w:r>
          </w:p>
        </w:tc>
      </w:tr>
      <w:tr w:rsidR="008C5C63" w:rsidRPr="000208A9" w14:paraId="4D0CFEC0" w14:textId="77777777" w:rsidTr="009A13F0">
        <w:tc>
          <w:tcPr>
            <w:tcW w:w="1101" w:type="dxa"/>
          </w:tcPr>
          <w:p w14:paraId="3C77DF45" w14:textId="77777777" w:rsidR="008C5C63" w:rsidRPr="000208A9" w:rsidRDefault="007555D9" w:rsidP="002A427E">
            <w:pPr>
              <w:rPr>
                <w:rFonts w:cs="Arial"/>
                <w:szCs w:val="24"/>
              </w:rPr>
            </w:pPr>
            <w:r>
              <w:rPr>
                <w:rFonts w:cs="Arial"/>
                <w:szCs w:val="24"/>
              </w:rPr>
              <w:t>7</w:t>
            </w:r>
          </w:p>
        </w:tc>
        <w:tc>
          <w:tcPr>
            <w:tcW w:w="7087" w:type="dxa"/>
          </w:tcPr>
          <w:p w14:paraId="5DBD3627" w14:textId="77777777" w:rsidR="008C5C63" w:rsidRPr="000208A9" w:rsidRDefault="008C5C63" w:rsidP="009C5CDE">
            <w:pPr>
              <w:rPr>
                <w:rFonts w:eastAsia="Arial Unicode MS" w:cs="Arial"/>
                <w:szCs w:val="24"/>
                <w:highlight w:val="yellow"/>
              </w:rPr>
            </w:pPr>
            <w:r w:rsidRPr="000208A9">
              <w:rPr>
                <w:rFonts w:cs="Arial"/>
                <w:szCs w:val="24"/>
              </w:rPr>
              <w:t>Consultation, Approval and Ratification Process</w:t>
            </w:r>
          </w:p>
        </w:tc>
        <w:tc>
          <w:tcPr>
            <w:tcW w:w="992" w:type="dxa"/>
          </w:tcPr>
          <w:p w14:paraId="3ED35913" w14:textId="77777777" w:rsidR="008C5C63" w:rsidRPr="000208A9" w:rsidRDefault="0064217F" w:rsidP="00B958C1">
            <w:pPr>
              <w:jc w:val="center"/>
              <w:rPr>
                <w:rFonts w:cs="Arial"/>
                <w:szCs w:val="24"/>
              </w:rPr>
            </w:pPr>
            <w:r>
              <w:rPr>
                <w:rFonts w:cs="Arial"/>
                <w:szCs w:val="24"/>
              </w:rPr>
              <w:t>15</w:t>
            </w:r>
          </w:p>
        </w:tc>
      </w:tr>
      <w:tr w:rsidR="008C5C63" w:rsidRPr="000208A9" w14:paraId="51701E89" w14:textId="77777777" w:rsidTr="009A13F0">
        <w:tc>
          <w:tcPr>
            <w:tcW w:w="1101" w:type="dxa"/>
          </w:tcPr>
          <w:p w14:paraId="0695E538" w14:textId="77777777" w:rsidR="008C5C63" w:rsidRPr="000208A9" w:rsidRDefault="007555D9" w:rsidP="00DC6A38">
            <w:pPr>
              <w:rPr>
                <w:rFonts w:cs="Arial"/>
                <w:szCs w:val="24"/>
              </w:rPr>
            </w:pPr>
            <w:r>
              <w:rPr>
                <w:rFonts w:cs="Arial"/>
                <w:szCs w:val="24"/>
              </w:rPr>
              <w:t>8</w:t>
            </w:r>
          </w:p>
        </w:tc>
        <w:tc>
          <w:tcPr>
            <w:tcW w:w="7087" w:type="dxa"/>
          </w:tcPr>
          <w:p w14:paraId="3F87442D" w14:textId="77777777" w:rsidR="008C5C63" w:rsidRPr="000208A9" w:rsidRDefault="008C5C63" w:rsidP="000208A9">
            <w:pPr>
              <w:rPr>
                <w:rFonts w:eastAsia="Arial Unicode MS" w:cs="Arial"/>
                <w:szCs w:val="24"/>
                <w:highlight w:val="yellow"/>
              </w:rPr>
            </w:pPr>
            <w:r w:rsidRPr="000208A9">
              <w:rPr>
                <w:rFonts w:cs="Arial"/>
                <w:szCs w:val="24"/>
              </w:rPr>
              <w:t>Dissemination and Implementation</w:t>
            </w:r>
          </w:p>
        </w:tc>
        <w:tc>
          <w:tcPr>
            <w:tcW w:w="992" w:type="dxa"/>
          </w:tcPr>
          <w:p w14:paraId="434F39FB" w14:textId="77777777" w:rsidR="008C5C63" w:rsidRPr="000208A9" w:rsidRDefault="0064217F" w:rsidP="000208A9">
            <w:pPr>
              <w:jc w:val="center"/>
              <w:rPr>
                <w:rFonts w:cs="Arial"/>
                <w:szCs w:val="24"/>
              </w:rPr>
            </w:pPr>
            <w:r>
              <w:rPr>
                <w:rFonts w:cs="Arial"/>
                <w:szCs w:val="24"/>
              </w:rPr>
              <w:t>15</w:t>
            </w:r>
          </w:p>
        </w:tc>
      </w:tr>
      <w:tr w:rsidR="008C5C63" w:rsidRPr="000208A9" w14:paraId="29473B2E" w14:textId="77777777" w:rsidTr="009A13F0">
        <w:tc>
          <w:tcPr>
            <w:tcW w:w="1101" w:type="dxa"/>
            <w:vAlign w:val="center"/>
          </w:tcPr>
          <w:p w14:paraId="55504B21" w14:textId="77777777" w:rsidR="008C5C63" w:rsidRPr="000208A9" w:rsidRDefault="007555D9" w:rsidP="008F5B6E">
            <w:pPr>
              <w:rPr>
                <w:rFonts w:cs="Arial"/>
                <w:szCs w:val="24"/>
              </w:rPr>
            </w:pPr>
            <w:r>
              <w:rPr>
                <w:rFonts w:cs="Arial"/>
                <w:szCs w:val="24"/>
              </w:rPr>
              <w:t>9</w:t>
            </w:r>
          </w:p>
        </w:tc>
        <w:tc>
          <w:tcPr>
            <w:tcW w:w="7087" w:type="dxa"/>
          </w:tcPr>
          <w:p w14:paraId="045F1745" w14:textId="77777777" w:rsidR="008C5C63" w:rsidRPr="000208A9" w:rsidRDefault="00DC6A38" w:rsidP="008F5B6E">
            <w:pPr>
              <w:pStyle w:val="Header"/>
              <w:ind w:right="-1"/>
              <w:jc w:val="both"/>
              <w:rPr>
                <w:rFonts w:eastAsia="Arial Unicode MS" w:cs="Arial"/>
                <w:szCs w:val="24"/>
                <w:highlight w:val="yellow"/>
              </w:rPr>
            </w:pPr>
            <w:r w:rsidRPr="000208A9">
              <w:rPr>
                <w:rFonts w:cs="Arial"/>
                <w:szCs w:val="24"/>
              </w:rPr>
              <w:t xml:space="preserve">Monitoring Compliance to </w:t>
            </w:r>
            <w:r w:rsidR="008F5B6E">
              <w:rPr>
                <w:rFonts w:cs="Arial"/>
                <w:szCs w:val="24"/>
              </w:rPr>
              <w:t>RI SOP 08D Safety Reporting in Clinical Investigations of Medical Devices (MHRA Regulated)</w:t>
            </w:r>
            <w:r w:rsidRPr="000208A9" w:rsidDel="00DC6A38">
              <w:rPr>
                <w:rFonts w:cs="Arial"/>
                <w:szCs w:val="24"/>
              </w:rPr>
              <w:t xml:space="preserve"> </w:t>
            </w:r>
          </w:p>
        </w:tc>
        <w:tc>
          <w:tcPr>
            <w:tcW w:w="992" w:type="dxa"/>
            <w:vAlign w:val="center"/>
          </w:tcPr>
          <w:p w14:paraId="4F0C6338" w14:textId="77777777" w:rsidR="008C5C63" w:rsidRPr="000208A9" w:rsidRDefault="0064217F" w:rsidP="008F5B6E">
            <w:pPr>
              <w:jc w:val="center"/>
              <w:rPr>
                <w:rFonts w:cs="Arial"/>
                <w:szCs w:val="24"/>
              </w:rPr>
            </w:pPr>
            <w:r>
              <w:rPr>
                <w:rFonts w:cs="Arial"/>
                <w:szCs w:val="24"/>
              </w:rPr>
              <w:t>15</w:t>
            </w:r>
          </w:p>
        </w:tc>
      </w:tr>
      <w:tr w:rsidR="00DC6A38" w:rsidRPr="000208A9" w14:paraId="317FF097" w14:textId="77777777" w:rsidTr="009A13F0">
        <w:tc>
          <w:tcPr>
            <w:tcW w:w="1101" w:type="dxa"/>
          </w:tcPr>
          <w:p w14:paraId="2CB61367" w14:textId="77777777" w:rsidR="00DC6A38" w:rsidRPr="000208A9" w:rsidRDefault="00DC6A38" w:rsidP="007555D9">
            <w:pPr>
              <w:rPr>
                <w:rFonts w:cs="Arial"/>
                <w:szCs w:val="24"/>
              </w:rPr>
            </w:pPr>
            <w:r w:rsidRPr="000208A9">
              <w:rPr>
                <w:rFonts w:cs="Arial"/>
                <w:szCs w:val="24"/>
              </w:rPr>
              <w:t>1</w:t>
            </w:r>
            <w:r w:rsidR="007555D9">
              <w:rPr>
                <w:rFonts w:cs="Arial"/>
                <w:szCs w:val="24"/>
              </w:rPr>
              <w:t>0</w:t>
            </w:r>
          </w:p>
        </w:tc>
        <w:tc>
          <w:tcPr>
            <w:tcW w:w="7087" w:type="dxa"/>
          </w:tcPr>
          <w:p w14:paraId="60131907" w14:textId="77777777" w:rsidR="00DC6A38" w:rsidRPr="000208A9" w:rsidRDefault="00DC6A38" w:rsidP="002A427E">
            <w:pPr>
              <w:rPr>
                <w:rFonts w:cs="Arial"/>
                <w:szCs w:val="24"/>
                <w:highlight w:val="yellow"/>
              </w:rPr>
            </w:pPr>
            <w:r w:rsidRPr="000208A9">
              <w:rPr>
                <w:rFonts w:cs="Arial"/>
                <w:szCs w:val="24"/>
              </w:rPr>
              <w:t>Standards and Key Performance Indicators (KPIs)</w:t>
            </w:r>
          </w:p>
        </w:tc>
        <w:tc>
          <w:tcPr>
            <w:tcW w:w="992" w:type="dxa"/>
          </w:tcPr>
          <w:p w14:paraId="57B40DBD" w14:textId="77777777" w:rsidR="00DC6A38" w:rsidRPr="000208A9" w:rsidDel="001A319B" w:rsidRDefault="0064217F" w:rsidP="00C80181">
            <w:pPr>
              <w:jc w:val="center"/>
              <w:rPr>
                <w:rFonts w:cs="Arial"/>
                <w:szCs w:val="24"/>
              </w:rPr>
            </w:pPr>
            <w:r>
              <w:rPr>
                <w:rFonts w:cs="Arial"/>
                <w:szCs w:val="24"/>
              </w:rPr>
              <w:t>16</w:t>
            </w:r>
          </w:p>
        </w:tc>
      </w:tr>
      <w:tr w:rsidR="008C5C63" w:rsidRPr="000208A9" w14:paraId="4411AECF" w14:textId="77777777" w:rsidTr="009A13F0">
        <w:tc>
          <w:tcPr>
            <w:tcW w:w="1101" w:type="dxa"/>
          </w:tcPr>
          <w:p w14:paraId="143D9E09" w14:textId="77777777" w:rsidR="008C5C63" w:rsidRPr="000208A9" w:rsidRDefault="008C5C63" w:rsidP="007555D9">
            <w:pPr>
              <w:rPr>
                <w:rFonts w:cs="Arial"/>
                <w:szCs w:val="24"/>
              </w:rPr>
            </w:pPr>
            <w:r w:rsidRPr="000208A9">
              <w:rPr>
                <w:rFonts w:cs="Arial"/>
                <w:szCs w:val="24"/>
              </w:rPr>
              <w:t>1</w:t>
            </w:r>
            <w:r w:rsidR="007555D9">
              <w:rPr>
                <w:rFonts w:cs="Arial"/>
                <w:szCs w:val="24"/>
              </w:rPr>
              <w:t>1</w:t>
            </w:r>
          </w:p>
        </w:tc>
        <w:tc>
          <w:tcPr>
            <w:tcW w:w="7087" w:type="dxa"/>
          </w:tcPr>
          <w:p w14:paraId="1AE47632" w14:textId="77777777" w:rsidR="008C5C63" w:rsidRPr="000208A9" w:rsidRDefault="008C5C63" w:rsidP="002A427E">
            <w:pPr>
              <w:rPr>
                <w:rFonts w:cs="Arial"/>
                <w:szCs w:val="24"/>
                <w:highlight w:val="yellow"/>
              </w:rPr>
            </w:pPr>
            <w:r w:rsidRPr="000208A9">
              <w:rPr>
                <w:rFonts w:cs="Arial"/>
                <w:szCs w:val="24"/>
              </w:rPr>
              <w:t>References and Bibliography</w:t>
            </w:r>
          </w:p>
        </w:tc>
        <w:tc>
          <w:tcPr>
            <w:tcW w:w="992" w:type="dxa"/>
          </w:tcPr>
          <w:p w14:paraId="4997151C" w14:textId="77777777" w:rsidR="008C5C63" w:rsidRPr="000208A9" w:rsidRDefault="0064217F" w:rsidP="002A427E">
            <w:pPr>
              <w:jc w:val="center"/>
              <w:rPr>
                <w:rFonts w:cs="Arial"/>
                <w:szCs w:val="24"/>
              </w:rPr>
            </w:pPr>
            <w:r>
              <w:rPr>
                <w:rFonts w:cs="Arial"/>
                <w:szCs w:val="24"/>
              </w:rPr>
              <w:t>16</w:t>
            </w:r>
          </w:p>
        </w:tc>
      </w:tr>
      <w:tr w:rsidR="008C5C63" w:rsidRPr="000208A9" w14:paraId="5855D3DF" w14:textId="77777777" w:rsidTr="009A13F0">
        <w:tc>
          <w:tcPr>
            <w:tcW w:w="1101" w:type="dxa"/>
          </w:tcPr>
          <w:p w14:paraId="756C1AA8" w14:textId="77777777" w:rsidR="008C5C63" w:rsidRPr="000208A9" w:rsidRDefault="008C5C63" w:rsidP="007555D9">
            <w:pPr>
              <w:rPr>
                <w:rFonts w:cs="Arial"/>
                <w:szCs w:val="24"/>
              </w:rPr>
            </w:pPr>
            <w:r w:rsidRPr="000208A9">
              <w:rPr>
                <w:rFonts w:cs="Arial"/>
                <w:szCs w:val="24"/>
              </w:rPr>
              <w:t>1</w:t>
            </w:r>
            <w:r w:rsidR="007555D9">
              <w:rPr>
                <w:rFonts w:cs="Arial"/>
                <w:szCs w:val="24"/>
              </w:rPr>
              <w:t>2</w:t>
            </w:r>
          </w:p>
        </w:tc>
        <w:tc>
          <w:tcPr>
            <w:tcW w:w="7087" w:type="dxa"/>
          </w:tcPr>
          <w:p w14:paraId="4F47889B" w14:textId="77777777" w:rsidR="008C5C63" w:rsidRPr="000208A9" w:rsidRDefault="008C5C63" w:rsidP="002A427E">
            <w:pPr>
              <w:rPr>
                <w:rFonts w:cs="Arial"/>
                <w:szCs w:val="24"/>
                <w:highlight w:val="yellow"/>
              </w:rPr>
            </w:pPr>
            <w:r w:rsidRPr="000208A9">
              <w:rPr>
                <w:rFonts w:cs="Arial"/>
                <w:szCs w:val="24"/>
              </w:rPr>
              <w:t>Associated Trust Documents</w:t>
            </w:r>
          </w:p>
        </w:tc>
        <w:tc>
          <w:tcPr>
            <w:tcW w:w="992" w:type="dxa"/>
          </w:tcPr>
          <w:p w14:paraId="0650799B" w14:textId="77777777" w:rsidR="008C5C63" w:rsidRPr="000208A9" w:rsidRDefault="0064217F" w:rsidP="000208A9">
            <w:pPr>
              <w:jc w:val="center"/>
              <w:rPr>
                <w:rFonts w:cs="Arial"/>
                <w:szCs w:val="24"/>
              </w:rPr>
            </w:pPr>
            <w:r>
              <w:rPr>
                <w:rFonts w:cs="Arial"/>
                <w:szCs w:val="24"/>
              </w:rPr>
              <w:t>16</w:t>
            </w:r>
          </w:p>
        </w:tc>
      </w:tr>
    </w:tbl>
    <w:p w14:paraId="6FAE046D" w14:textId="77777777" w:rsidR="008C5C63" w:rsidRPr="000208A9" w:rsidRDefault="008C5C63" w:rsidP="00E12701">
      <w:pPr>
        <w:rPr>
          <w:rFonts w:cs="Arial"/>
          <w:szCs w:val="24"/>
        </w:rPr>
      </w:pPr>
    </w:p>
    <w:p w14:paraId="01ECB174" w14:textId="77777777" w:rsidR="008C5C63" w:rsidRPr="000208A9" w:rsidRDefault="008C5C63" w:rsidP="000C2DE4">
      <w:pPr>
        <w:numPr>
          <w:ilvl w:val="0"/>
          <w:numId w:val="3"/>
        </w:numPr>
        <w:spacing w:after="240"/>
        <w:ind w:left="567" w:hanging="567"/>
        <w:rPr>
          <w:rFonts w:cs="Arial"/>
          <w:b/>
          <w:szCs w:val="24"/>
        </w:rPr>
      </w:pPr>
      <w:r w:rsidRPr="000208A9">
        <w:rPr>
          <w:rFonts w:cs="Arial"/>
          <w:b/>
          <w:szCs w:val="24"/>
        </w:rPr>
        <w:t>Introduction</w:t>
      </w:r>
    </w:p>
    <w:p w14:paraId="70605953" w14:textId="77777777" w:rsidR="009A13F0" w:rsidRPr="00283D0E" w:rsidRDefault="009A13F0" w:rsidP="0077272E">
      <w:pPr>
        <w:spacing w:after="240"/>
        <w:rPr>
          <w:rFonts w:eastAsia="Arial Unicode MS" w:cs="Arial"/>
          <w:iCs/>
          <w:szCs w:val="24"/>
        </w:rPr>
      </w:pPr>
      <w:r>
        <w:rPr>
          <w:rFonts w:eastAsia="Arial Unicode MS" w:cs="Arial"/>
          <w:iCs/>
          <w:szCs w:val="24"/>
        </w:rPr>
        <w:t xml:space="preserve">The Medical Device Regulations </w:t>
      </w:r>
      <w:r w:rsidR="001A73C8">
        <w:rPr>
          <w:rFonts w:eastAsia="Arial Unicode MS" w:cs="Arial"/>
          <w:iCs/>
          <w:szCs w:val="24"/>
        </w:rPr>
        <w:t xml:space="preserve">2002 </w:t>
      </w:r>
      <w:r>
        <w:rPr>
          <w:rFonts w:eastAsia="Arial Unicode MS" w:cs="Arial"/>
          <w:iCs/>
          <w:szCs w:val="24"/>
        </w:rPr>
        <w:t>(MDR</w:t>
      </w:r>
      <w:r w:rsidR="00B749D2">
        <w:rPr>
          <w:rFonts w:eastAsia="Arial Unicode MS" w:cs="Arial"/>
          <w:iCs/>
          <w:szCs w:val="24"/>
        </w:rPr>
        <w:t xml:space="preserve"> 2002</w:t>
      </w:r>
      <w:r>
        <w:rPr>
          <w:rFonts w:eastAsia="Arial Unicode MS" w:cs="Arial"/>
          <w:iCs/>
          <w:szCs w:val="24"/>
        </w:rPr>
        <w:t xml:space="preserve">) </w:t>
      </w:r>
      <w:r w:rsidR="008A65B8">
        <w:rPr>
          <w:rFonts w:eastAsia="Arial Unicode MS" w:cs="Arial"/>
          <w:iCs/>
          <w:szCs w:val="24"/>
        </w:rPr>
        <w:t xml:space="preserve">and Good Clinical Practice (GCP) </w:t>
      </w:r>
      <w:r>
        <w:rPr>
          <w:rFonts w:eastAsia="Arial Unicode MS" w:cs="Arial"/>
          <w:iCs/>
          <w:szCs w:val="24"/>
        </w:rPr>
        <w:t xml:space="preserve">require the recording and reporting of adverse events that occur during clinical investigations of medical devices. </w:t>
      </w:r>
      <w:r w:rsidRPr="006A15B6">
        <w:rPr>
          <w:rFonts w:eastAsia="Arial Unicode MS" w:cs="Arial"/>
          <w:szCs w:val="24"/>
        </w:rPr>
        <w:t xml:space="preserve">Safety reporting for clinical trials falling under the scope of these regulations must be reported in accordance with this legislation, </w:t>
      </w:r>
      <w:r w:rsidR="008A65B8">
        <w:rPr>
          <w:rFonts w:eastAsia="Arial Unicode MS" w:cs="Arial"/>
          <w:szCs w:val="24"/>
        </w:rPr>
        <w:t>GCP</w:t>
      </w:r>
      <w:r w:rsidR="00690203">
        <w:rPr>
          <w:rFonts w:eastAsia="Arial Unicode MS" w:cs="Arial"/>
          <w:szCs w:val="24"/>
        </w:rPr>
        <w:t xml:space="preserve">, </w:t>
      </w:r>
      <w:r w:rsidRPr="006A15B6">
        <w:rPr>
          <w:rFonts w:eastAsia="Arial Unicode MS" w:cs="Arial"/>
          <w:szCs w:val="24"/>
        </w:rPr>
        <w:t>and in compliance with any other conditions stipulated in the trial protocol.</w:t>
      </w:r>
    </w:p>
    <w:p w14:paraId="3B4FA91C" w14:textId="77777777" w:rsidR="00900CBC" w:rsidRDefault="00900CBC" w:rsidP="0077272E">
      <w:pPr>
        <w:spacing w:after="240"/>
        <w:rPr>
          <w:rFonts w:eastAsia="Arial Unicode MS" w:cs="Arial"/>
          <w:szCs w:val="24"/>
        </w:rPr>
      </w:pPr>
      <w:r>
        <w:rPr>
          <w:rFonts w:eastAsia="Arial Unicode MS" w:cs="Arial"/>
          <w:szCs w:val="24"/>
        </w:rPr>
        <w:t xml:space="preserve">The following events </w:t>
      </w:r>
      <w:r w:rsidR="00490802">
        <w:rPr>
          <w:rFonts w:eastAsia="Arial Unicode MS" w:cs="Arial"/>
          <w:szCs w:val="24"/>
        </w:rPr>
        <w:t xml:space="preserve">are considered events which are reportable </w:t>
      </w:r>
      <w:r w:rsidR="0017711B">
        <w:rPr>
          <w:rFonts w:eastAsia="Arial Unicode MS" w:cs="Arial"/>
          <w:szCs w:val="24"/>
        </w:rPr>
        <w:t xml:space="preserve">(to the MHRA Devices Adverse Incident Centre) </w:t>
      </w:r>
      <w:r w:rsidR="008C3BAE">
        <w:rPr>
          <w:rFonts w:eastAsia="Arial Unicode MS" w:cs="Arial"/>
          <w:szCs w:val="24"/>
        </w:rPr>
        <w:t>‘</w:t>
      </w:r>
      <w:r w:rsidR="00490802">
        <w:rPr>
          <w:rFonts w:eastAsia="Arial Unicode MS" w:cs="Arial"/>
          <w:szCs w:val="24"/>
        </w:rPr>
        <w:t>without delay</w:t>
      </w:r>
      <w:r w:rsidR="008C3BAE">
        <w:rPr>
          <w:rFonts w:eastAsia="Arial Unicode MS" w:cs="Arial"/>
          <w:szCs w:val="24"/>
        </w:rPr>
        <w:t>’</w:t>
      </w:r>
      <w:r>
        <w:rPr>
          <w:rFonts w:eastAsia="Arial Unicode MS" w:cs="Arial"/>
          <w:szCs w:val="24"/>
        </w:rPr>
        <w:t>:</w:t>
      </w:r>
    </w:p>
    <w:p w14:paraId="7A176D90" w14:textId="77777777" w:rsidR="00900CBC" w:rsidRDefault="00900CBC" w:rsidP="00900CBC">
      <w:pPr>
        <w:pStyle w:val="NoSpacing"/>
        <w:numPr>
          <w:ilvl w:val="0"/>
          <w:numId w:val="15"/>
        </w:numPr>
        <w:rPr>
          <w:rFonts w:eastAsia="Arial Unicode MS"/>
        </w:rPr>
      </w:pPr>
      <w:r w:rsidRPr="00900CBC">
        <w:rPr>
          <w:rFonts w:eastAsia="Arial Unicode MS"/>
        </w:rPr>
        <w:t>Any SAE</w:t>
      </w:r>
      <w:r w:rsidR="001403DA">
        <w:rPr>
          <w:rFonts w:eastAsia="Arial Unicode MS"/>
        </w:rPr>
        <w:t>;</w:t>
      </w:r>
    </w:p>
    <w:p w14:paraId="6FD317B5" w14:textId="77777777" w:rsidR="00900CBC" w:rsidRPr="00490802" w:rsidRDefault="00900CBC" w:rsidP="00490802">
      <w:pPr>
        <w:pStyle w:val="NoSpacing"/>
        <w:numPr>
          <w:ilvl w:val="0"/>
          <w:numId w:val="15"/>
        </w:numPr>
        <w:rPr>
          <w:rFonts w:eastAsia="Arial Unicode MS"/>
        </w:rPr>
      </w:pPr>
      <w:r>
        <w:rPr>
          <w:rFonts w:eastAsia="Arial Unicode MS"/>
        </w:rPr>
        <w:lastRenderedPageBreak/>
        <w:t xml:space="preserve">Any </w:t>
      </w:r>
      <w:r w:rsidR="00490802">
        <w:rPr>
          <w:rFonts w:eastAsia="Arial Unicode MS"/>
        </w:rPr>
        <w:t>d</w:t>
      </w:r>
      <w:r>
        <w:rPr>
          <w:rFonts w:eastAsia="Arial Unicode MS"/>
        </w:rPr>
        <w:t xml:space="preserve">evice </w:t>
      </w:r>
      <w:r w:rsidR="00490802">
        <w:rPr>
          <w:rFonts w:eastAsia="Arial Unicode MS"/>
        </w:rPr>
        <w:t>d</w:t>
      </w:r>
      <w:r>
        <w:rPr>
          <w:rFonts w:eastAsia="Arial Unicode MS"/>
        </w:rPr>
        <w:t>eficiency that might have led to an SAE if</w:t>
      </w:r>
      <w:r w:rsidR="00490802">
        <w:rPr>
          <w:rFonts w:eastAsia="Arial Unicode MS"/>
        </w:rPr>
        <w:t xml:space="preserve"> s</w:t>
      </w:r>
      <w:r w:rsidRPr="00490802">
        <w:rPr>
          <w:rFonts w:eastAsia="Arial Unicode MS"/>
        </w:rPr>
        <w:t>uitable action had not been taken</w:t>
      </w:r>
      <w:r w:rsidR="00490802">
        <w:rPr>
          <w:rFonts w:eastAsia="Arial Unicode MS"/>
        </w:rPr>
        <w:t>, i</w:t>
      </w:r>
      <w:r w:rsidRPr="00490802">
        <w:rPr>
          <w:rFonts w:eastAsia="Arial Unicode MS"/>
        </w:rPr>
        <w:t>ntervention had not been made or</w:t>
      </w:r>
      <w:r w:rsidR="00490802">
        <w:rPr>
          <w:rFonts w:eastAsia="Arial Unicode MS"/>
        </w:rPr>
        <w:t xml:space="preserve"> c</w:t>
      </w:r>
      <w:r w:rsidRPr="00490802">
        <w:rPr>
          <w:rFonts w:eastAsia="Arial Unicode MS"/>
        </w:rPr>
        <w:t>ircumstances had been less fortunate</w:t>
      </w:r>
      <w:r w:rsidR="001403DA">
        <w:rPr>
          <w:rFonts w:eastAsia="Arial Unicode MS"/>
        </w:rPr>
        <w:t>;</w:t>
      </w:r>
    </w:p>
    <w:p w14:paraId="10417843" w14:textId="77777777" w:rsidR="00900CBC" w:rsidRDefault="00900CBC" w:rsidP="00900CBC">
      <w:pPr>
        <w:pStyle w:val="NoSpacing"/>
        <w:numPr>
          <w:ilvl w:val="0"/>
          <w:numId w:val="18"/>
        </w:numPr>
        <w:rPr>
          <w:rFonts w:eastAsia="Arial Unicode MS"/>
        </w:rPr>
      </w:pPr>
      <w:r>
        <w:rPr>
          <w:rFonts w:eastAsia="Arial Unicode MS"/>
        </w:rPr>
        <w:t>New findings/updates in relation to already reported events.</w:t>
      </w:r>
    </w:p>
    <w:p w14:paraId="3AAF5F68" w14:textId="77777777" w:rsidR="00900CBC" w:rsidRDefault="00900CBC" w:rsidP="00900CBC">
      <w:pPr>
        <w:pStyle w:val="NoSpacing"/>
        <w:rPr>
          <w:rFonts w:eastAsia="Arial Unicode MS"/>
        </w:rPr>
      </w:pPr>
    </w:p>
    <w:p w14:paraId="74EBF40A" w14:textId="77777777" w:rsidR="00B05906" w:rsidRDefault="008C3BAE" w:rsidP="00900CBC">
      <w:pPr>
        <w:pStyle w:val="NoSpacing"/>
        <w:rPr>
          <w:rFonts w:eastAsia="Arial Unicode MS"/>
        </w:rPr>
      </w:pPr>
      <w:r>
        <w:rPr>
          <w:rFonts w:eastAsia="Arial Unicode MS"/>
        </w:rPr>
        <w:t>‘</w:t>
      </w:r>
      <w:r w:rsidR="00B05906">
        <w:rPr>
          <w:rFonts w:eastAsia="Arial Unicode MS"/>
        </w:rPr>
        <w:t>Without delay</w:t>
      </w:r>
      <w:r>
        <w:rPr>
          <w:rFonts w:eastAsia="Arial Unicode MS"/>
        </w:rPr>
        <w:t>’</w:t>
      </w:r>
      <w:r w:rsidR="00B05906">
        <w:rPr>
          <w:rFonts w:eastAsia="Arial Unicode MS"/>
        </w:rPr>
        <w:t xml:space="preserve"> means:</w:t>
      </w:r>
    </w:p>
    <w:p w14:paraId="1AFE2CFB" w14:textId="77777777" w:rsidR="00B05906" w:rsidRDefault="00B05906" w:rsidP="00B05906">
      <w:pPr>
        <w:pStyle w:val="NoSpacing"/>
        <w:numPr>
          <w:ilvl w:val="0"/>
          <w:numId w:val="18"/>
        </w:numPr>
        <w:rPr>
          <w:rFonts w:eastAsia="Arial Unicode MS"/>
        </w:rPr>
      </w:pPr>
      <w:r>
        <w:rPr>
          <w:rFonts w:eastAsia="Arial Unicode MS"/>
        </w:rPr>
        <w:t>Immediately, but not later than 2 calendar days after awareness by sponsor of a new reportable event or of new information in relation to an already reported event where imminent risk of death, serious injury, or serious illness that requires prompt rem</w:t>
      </w:r>
      <w:r w:rsidR="008C3BAE">
        <w:rPr>
          <w:rFonts w:eastAsia="Arial Unicode MS"/>
        </w:rPr>
        <w:t>e</w:t>
      </w:r>
      <w:r>
        <w:rPr>
          <w:rFonts w:eastAsia="Arial Unicode MS"/>
        </w:rPr>
        <w:t xml:space="preserve">dial action for other patients/subjects, users or other persons </w:t>
      </w:r>
      <w:r w:rsidR="008C3BAE">
        <w:rPr>
          <w:rFonts w:eastAsia="Arial Unicode MS"/>
        </w:rPr>
        <w:t>was identified.</w:t>
      </w:r>
    </w:p>
    <w:p w14:paraId="24104AB7" w14:textId="77777777" w:rsidR="008C3BAE" w:rsidRDefault="008C3BAE" w:rsidP="00B05906">
      <w:pPr>
        <w:pStyle w:val="NoSpacing"/>
        <w:numPr>
          <w:ilvl w:val="0"/>
          <w:numId w:val="18"/>
        </w:numPr>
        <w:rPr>
          <w:rFonts w:eastAsia="Arial Unicode MS"/>
        </w:rPr>
      </w:pPr>
      <w:r>
        <w:rPr>
          <w:rFonts w:eastAsia="Arial Unicode MS"/>
        </w:rPr>
        <w:t>Immediately, but not later than 7 calendar days following awareness by sponsor of a new reportable event or of new information in relation to an already reported event which does not fall into the above category.</w:t>
      </w:r>
    </w:p>
    <w:p w14:paraId="200F046E" w14:textId="77777777" w:rsidR="00B05906" w:rsidRDefault="00B05906" w:rsidP="00900CBC">
      <w:pPr>
        <w:pStyle w:val="NoSpacing"/>
        <w:rPr>
          <w:rFonts w:eastAsia="Arial Unicode MS"/>
        </w:rPr>
      </w:pPr>
    </w:p>
    <w:p w14:paraId="7B29C168" w14:textId="77777777" w:rsidR="00900CBC" w:rsidRDefault="00900CBC" w:rsidP="00900CBC">
      <w:pPr>
        <w:pStyle w:val="NoSpacing"/>
        <w:rPr>
          <w:rFonts w:eastAsia="Arial Unicode MS"/>
        </w:rPr>
      </w:pPr>
      <w:r>
        <w:rPr>
          <w:rFonts w:eastAsia="Arial Unicode MS"/>
        </w:rPr>
        <w:t>Events occurring</w:t>
      </w:r>
      <w:r w:rsidR="00467C5D">
        <w:rPr>
          <w:rFonts w:eastAsia="Arial Unicode MS"/>
        </w:rPr>
        <w:t xml:space="preserve"> outside the UK</w:t>
      </w:r>
      <w:r>
        <w:rPr>
          <w:rFonts w:eastAsia="Arial Unicode MS"/>
        </w:rPr>
        <w:t xml:space="preserve"> </w:t>
      </w:r>
      <w:r w:rsidR="00467C5D">
        <w:rPr>
          <w:rFonts w:eastAsia="Arial Unicode MS"/>
        </w:rPr>
        <w:t>in</w:t>
      </w:r>
      <w:r>
        <w:rPr>
          <w:rFonts w:eastAsia="Arial Unicode MS"/>
        </w:rPr>
        <w:t xml:space="preserve"> a clinical investigation </w:t>
      </w:r>
      <w:r w:rsidR="00467C5D">
        <w:rPr>
          <w:rFonts w:eastAsia="Arial Unicode MS"/>
        </w:rPr>
        <w:t xml:space="preserve">which </w:t>
      </w:r>
      <w:r>
        <w:rPr>
          <w:rFonts w:eastAsia="Arial Unicode MS"/>
        </w:rPr>
        <w:t xml:space="preserve">is performed under the same clinical investigation plan (i.e. protocol) </w:t>
      </w:r>
      <w:r w:rsidR="00467C5D">
        <w:rPr>
          <w:rFonts w:eastAsia="Arial Unicode MS"/>
        </w:rPr>
        <w:t>must also be reported</w:t>
      </w:r>
      <w:r>
        <w:rPr>
          <w:rFonts w:eastAsia="Arial Unicode MS"/>
        </w:rPr>
        <w:t xml:space="preserve">. </w:t>
      </w:r>
    </w:p>
    <w:p w14:paraId="0BED9DA2" w14:textId="77777777" w:rsidR="00490802" w:rsidRDefault="00490802" w:rsidP="00900CBC">
      <w:pPr>
        <w:pStyle w:val="NoSpacing"/>
        <w:rPr>
          <w:rFonts w:eastAsia="Arial Unicode MS"/>
        </w:rPr>
      </w:pPr>
    </w:p>
    <w:p w14:paraId="35C5043A" w14:textId="77777777" w:rsidR="00490802" w:rsidRDefault="00225409" w:rsidP="00900CBC">
      <w:pPr>
        <w:pStyle w:val="NoSpacing"/>
        <w:rPr>
          <w:rFonts w:eastAsia="Arial Unicode MS"/>
        </w:rPr>
      </w:pPr>
      <w:r>
        <w:rPr>
          <w:rFonts w:eastAsia="Arial Unicode MS"/>
        </w:rPr>
        <w:t>W</w:t>
      </w:r>
      <w:r w:rsidR="00490802">
        <w:rPr>
          <w:rFonts w:eastAsia="Arial Unicode MS"/>
        </w:rPr>
        <w:t>here necessary, an initial report that is incomplete can be submitted and followed up by a complete report.</w:t>
      </w:r>
      <w:r w:rsidR="005D7F52">
        <w:rPr>
          <w:rFonts w:eastAsia="Arial Unicode MS"/>
        </w:rPr>
        <w:t xml:space="preserve"> The Trust, as sponsor, may also request information in addition to that provided by the research team on the </w:t>
      </w:r>
      <w:r w:rsidR="006B2EAC">
        <w:rPr>
          <w:rFonts w:eastAsia="Arial Unicode MS"/>
        </w:rPr>
        <w:t xml:space="preserve">Trust’s </w:t>
      </w:r>
      <w:r w:rsidR="005D7F52">
        <w:rPr>
          <w:rFonts w:eastAsia="Arial Unicode MS"/>
        </w:rPr>
        <w:t>Clinical Investigation of a Medical Device SAE form, such as the number of devices currently in use, used to date, and the number of participants enrolled to date.</w:t>
      </w:r>
    </w:p>
    <w:p w14:paraId="623FFDA2" w14:textId="77777777" w:rsidR="00490802" w:rsidRDefault="00490802" w:rsidP="00900CBC">
      <w:pPr>
        <w:pStyle w:val="NoSpacing"/>
        <w:rPr>
          <w:rFonts w:eastAsia="Arial Unicode MS"/>
        </w:rPr>
      </w:pPr>
    </w:p>
    <w:p w14:paraId="4BF22484" w14:textId="77777777" w:rsidR="00490802" w:rsidRDefault="00283D0E" w:rsidP="00900CBC">
      <w:pPr>
        <w:pStyle w:val="NoSpacing"/>
        <w:rPr>
          <w:rFonts w:eastAsia="Arial Unicode MS"/>
        </w:rPr>
      </w:pPr>
      <w:r>
        <w:rPr>
          <w:rFonts w:eastAsia="Arial Unicode MS"/>
        </w:rPr>
        <w:t>The</w:t>
      </w:r>
      <w:r w:rsidR="00490802">
        <w:rPr>
          <w:rFonts w:eastAsia="Arial Unicode MS"/>
        </w:rPr>
        <w:t xml:space="preserve"> sponsor must fully record any adverse event of a type identified in the clinical investigation plan as being critical to the evaluation of the results of that clinical investigation.</w:t>
      </w:r>
    </w:p>
    <w:p w14:paraId="236FAEAD" w14:textId="77777777" w:rsidR="001B1E55" w:rsidRDefault="001B1E55" w:rsidP="00900CBC">
      <w:pPr>
        <w:pStyle w:val="NoSpacing"/>
        <w:rPr>
          <w:rFonts w:eastAsia="Arial Unicode MS"/>
        </w:rPr>
      </w:pPr>
    </w:p>
    <w:p w14:paraId="0E8CEAB5" w14:textId="77777777" w:rsidR="001B1E55" w:rsidRDefault="001B1E55" w:rsidP="001B1E55">
      <w:pPr>
        <w:rPr>
          <w:b/>
        </w:rPr>
      </w:pPr>
      <w:r>
        <w:rPr>
          <w:rFonts w:eastAsia="Arial Unicode MS"/>
        </w:rPr>
        <w:t xml:space="preserve">Events and effects </w:t>
      </w:r>
      <w:r>
        <w:rPr>
          <w:rFonts w:eastAsia="Arial Unicode MS" w:cs="Arial"/>
          <w:iCs/>
          <w:szCs w:val="24"/>
        </w:rPr>
        <w:t>should be recorded from the time the participant signs the informed consent form, unless otherwise specified in the approved protocol.</w:t>
      </w:r>
    </w:p>
    <w:p w14:paraId="4F14DCA6" w14:textId="77777777" w:rsidR="00900CBC" w:rsidRPr="00900CBC" w:rsidRDefault="00900CBC" w:rsidP="00900CBC">
      <w:pPr>
        <w:pStyle w:val="NoSpacing"/>
        <w:rPr>
          <w:rFonts w:eastAsia="Arial Unicode MS"/>
        </w:rPr>
      </w:pPr>
    </w:p>
    <w:p w14:paraId="6E619D4D" w14:textId="77777777" w:rsidR="008C5C63" w:rsidRPr="000208A9" w:rsidRDefault="008C5C63" w:rsidP="000C2DE4">
      <w:pPr>
        <w:numPr>
          <w:ilvl w:val="0"/>
          <w:numId w:val="4"/>
        </w:numPr>
        <w:spacing w:after="240"/>
        <w:ind w:left="567" w:hanging="567"/>
        <w:rPr>
          <w:rFonts w:cs="Arial"/>
          <w:b/>
          <w:szCs w:val="24"/>
        </w:rPr>
      </w:pPr>
      <w:r w:rsidRPr="000208A9">
        <w:rPr>
          <w:rFonts w:cs="Arial"/>
          <w:b/>
          <w:szCs w:val="24"/>
        </w:rPr>
        <w:t>Purpose</w:t>
      </w:r>
    </w:p>
    <w:p w14:paraId="31DC7A60" w14:textId="77777777" w:rsidR="00283D0E" w:rsidRDefault="00B57787" w:rsidP="00283D0E">
      <w:pPr>
        <w:spacing w:after="240"/>
        <w:rPr>
          <w:rFonts w:eastAsia="Arial Unicode MS" w:cs="Arial"/>
          <w:szCs w:val="24"/>
        </w:rPr>
      </w:pPr>
      <w:r>
        <w:rPr>
          <w:rFonts w:cs="Arial"/>
          <w:szCs w:val="24"/>
        </w:rPr>
        <w:t xml:space="preserve">This SOP’s </w:t>
      </w:r>
      <w:r w:rsidR="009A13F0" w:rsidRPr="006A15B6">
        <w:rPr>
          <w:rFonts w:cs="Arial"/>
          <w:szCs w:val="24"/>
        </w:rPr>
        <w:t xml:space="preserve">purpose is to describe the responsibilities and processes related to the identification, assessment, recording and reporting of adverse events occurring in </w:t>
      </w:r>
      <w:r w:rsidR="00283D0E">
        <w:rPr>
          <w:rFonts w:cs="Arial"/>
          <w:szCs w:val="24"/>
        </w:rPr>
        <w:t xml:space="preserve">Trust-sponsored </w:t>
      </w:r>
      <w:r w:rsidR="009A13F0">
        <w:rPr>
          <w:rFonts w:eastAsia="Arial Unicode MS" w:cs="Arial"/>
          <w:iCs/>
          <w:szCs w:val="24"/>
        </w:rPr>
        <w:t>Clinical Investigations of Medical Devices</w:t>
      </w:r>
      <w:r>
        <w:rPr>
          <w:rFonts w:eastAsia="Arial Unicode MS" w:cs="Arial"/>
          <w:iCs/>
          <w:szCs w:val="24"/>
        </w:rPr>
        <w:t xml:space="preserve"> falling under the MDR</w:t>
      </w:r>
      <w:r w:rsidR="00EE4C6B">
        <w:rPr>
          <w:rFonts w:eastAsia="Arial Unicode MS" w:cs="Arial"/>
          <w:iCs/>
          <w:szCs w:val="24"/>
        </w:rPr>
        <w:t xml:space="preserve"> 2002</w:t>
      </w:r>
      <w:r w:rsidR="00283D0E">
        <w:rPr>
          <w:rFonts w:eastAsia="Arial Unicode MS" w:cs="Arial"/>
          <w:iCs/>
          <w:szCs w:val="24"/>
        </w:rPr>
        <w:t xml:space="preserve">. </w:t>
      </w:r>
      <w:r w:rsidR="00283D0E">
        <w:rPr>
          <w:rFonts w:eastAsia="Arial Unicode MS" w:cs="Arial"/>
          <w:szCs w:val="24"/>
        </w:rPr>
        <w:t>This SOP applies to non-CE marked devices and CE marked devices used outside the intended use covered by the CE marking.</w:t>
      </w:r>
      <w:r w:rsidR="008C3BAE">
        <w:rPr>
          <w:rFonts w:eastAsia="Arial Unicode MS" w:cs="Arial"/>
          <w:szCs w:val="24"/>
        </w:rPr>
        <w:t xml:space="preserve"> Events occurring in </w:t>
      </w:r>
      <w:r w:rsidR="001A0DB3">
        <w:rPr>
          <w:rFonts w:eastAsia="Arial Unicode MS" w:cs="Arial"/>
          <w:szCs w:val="24"/>
        </w:rPr>
        <w:t xml:space="preserve">device trials which use devices within their intended use should be reported as per the </w:t>
      </w:r>
      <w:r w:rsidR="006847D1">
        <w:rPr>
          <w:rFonts w:eastAsia="Arial Unicode MS" w:cs="Arial"/>
          <w:szCs w:val="24"/>
        </w:rPr>
        <w:t xml:space="preserve">R&amp;I </w:t>
      </w:r>
      <w:r w:rsidR="001A0DB3">
        <w:rPr>
          <w:rFonts w:eastAsia="Arial Unicode MS" w:cs="Arial"/>
          <w:szCs w:val="24"/>
        </w:rPr>
        <w:t>SOP ‘Safety Reporting for Studies Other than CTIMPs’.</w:t>
      </w:r>
    </w:p>
    <w:p w14:paraId="724F81D3" w14:textId="77777777" w:rsidR="008C5C63" w:rsidRPr="000208A9" w:rsidRDefault="008C5C63" w:rsidP="000C2DE4">
      <w:pPr>
        <w:numPr>
          <w:ilvl w:val="0"/>
          <w:numId w:val="4"/>
        </w:numPr>
        <w:spacing w:after="240"/>
        <w:ind w:left="567" w:hanging="567"/>
        <w:rPr>
          <w:rFonts w:cs="Arial"/>
          <w:b/>
          <w:szCs w:val="24"/>
        </w:rPr>
      </w:pPr>
      <w:r w:rsidRPr="000208A9">
        <w:rPr>
          <w:rFonts w:cs="Arial"/>
          <w:b/>
          <w:szCs w:val="24"/>
        </w:rPr>
        <w:t>Roles and Responsibilities</w:t>
      </w:r>
    </w:p>
    <w:p w14:paraId="6F346A65" w14:textId="77777777" w:rsidR="008C5C63" w:rsidRPr="00071299" w:rsidRDefault="00071299" w:rsidP="00071299">
      <w:pPr>
        <w:pStyle w:val="NoSpacing"/>
        <w:ind w:left="426"/>
        <w:rPr>
          <w:rFonts w:eastAsia="Arial Unicode MS"/>
          <w:b/>
        </w:rPr>
      </w:pPr>
      <w:r>
        <w:rPr>
          <w:b/>
        </w:rPr>
        <w:t>3.1</w:t>
      </w:r>
      <w:r>
        <w:rPr>
          <w:b/>
        </w:rPr>
        <w:tab/>
      </w:r>
      <w:r w:rsidR="008C5C63" w:rsidRPr="00071299">
        <w:rPr>
          <w:b/>
        </w:rPr>
        <w:t xml:space="preserve">Duties </w:t>
      </w:r>
      <w:r w:rsidR="006F31E3" w:rsidRPr="00071299">
        <w:rPr>
          <w:b/>
        </w:rPr>
        <w:t xml:space="preserve">Within </w:t>
      </w:r>
      <w:r w:rsidR="008C5C63" w:rsidRPr="00071299">
        <w:rPr>
          <w:b/>
        </w:rPr>
        <w:t>the Organisation</w:t>
      </w:r>
    </w:p>
    <w:p w14:paraId="48E29083" w14:textId="77777777" w:rsidR="00B765C1" w:rsidRPr="000208A9" w:rsidRDefault="00B765C1" w:rsidP="00CB11CC">
      <w:pPr>
        <w:pStyle w:val="ListParagraph"/>
        <w:ind w:left="426"/>
        <w:rPr>
          <w:rFonts w:ascii="Arial" w:eastAsia="Arial Unicode MS" w:hAnsi="Arial" w:cs="Arial"/>
          <w:sz w:val="24"/>
          <w:szCs w:val="24"/>
          <w:lang w:eastAsia="en-US"/>
        </w:rPr>
      </w:pPr>
      <w:r w:rsidRPr="000208A9">
        <w:rPr>
          <w:rFonts w:ascii="Arial" w:eastAsia="Arial Unicode MS" w:hAnsi="Arial" w:cs="Arial"/>
          <w:sz w:val="24"/>
          <w:szCs w:val="24"/>
          <w:lang w:eastAsia="en-US"/>
        </w:rPr>
        <w:t>It is the responsibility of the Research Office to make Trustwide research policies (policies bearing the acronym “RI” in the reference number) and Trustwide research SOPs (SOPs bearing the acronym ‘RI SOP’ in the SOP reference number) available to all research active staff working on Trust premises.</w:t>
      </w:r>
    </w:p>
    <w:p w14:paraId="36CEDA1E" w14:textId="77777777" w:rsidR="00B765C1" w:rsidRPr="000208A9" w:rsidRDefault="00B765C1" w:rsidP="00CB11CC">
      <w:pPr>
        <w:pStyle w:val="ListParagraph"/>
        <w:ind w:left="426"/>
        <w:rPr>
          <w:rFonts w:ascii="Arial" w:eastAsia="Arial Unicode MS" w:hAnsi="Arial" w:cs="Arial"/>
          <w:sz w:val="24"/>
          <w:szCs w:val="24"/>
          <w:lang w:eastAsia="en-US"/>
        </w:rPr>
      </w:pPr>
    </w:p>
    <w:p w14:paraId="38927349" w14:textId="77777777" w:rsidR="00B765C1" w:rsidRPr="000208A9" w:rsidRDefault="00B765C1" w:rsidP="00CB11CC">
      <w:pPr>
        <w:pStyle w:val="ListParagraph"/>
        <w:ind w:left="426"/>
        <w:rPr>
          <w:rFonts w:ascii="Arial" w:eastAsia="Arial Unicode MS" w:hAnsi="Arial" w:cs="Arial"/>
          <w:sz w:val="24"/>
          <w:szCs w:val="24"/>
          <w:lang w:eastAsia="en-US"/>
        </w:rPr>
      </w:pPr>
      <w:r w:rsidRPr="000208A9">
        <w:rPr>
          <w:rFonts w:ascii="Arial" w:eastAsia="Arial Unicode MS" w:hAnsi="Arial" w:cs="Arial"/>
          <w:sz w:val="24"/>
          <w:szCs w:val="24"/>
          <w:lang w:eastAsia="en-US"/>
        </w:rPr>
        <w:lastRenderedPageBreak/>
        <w:t>It is the responsibility of the study’s Chief Investigator (for studies sponsored by the Trust) or Principal Investigator (for all other studies) to ensure that current copies of Trustwide research SOPs and policies relevant to delegated roles in the study are available to research staff.</w:t>
      </w:r>
    </w:p>
    <w:p w14:paraId="655D8ECF" w14:textId="77777777" w:rsidR="00B765C1" w:rsidRPr="000208A9" w:rsidRDefault="00B765C1" w:rsidP="00CB11CC">
      <w:pPr>
        <w:pStyle w:val="ListParagraph"/>
        <w:ind w:left="426"/>
        <w:rPr>
          <w:rFonts w:ascii="Arial" w:eastAsia="Arial Unicode MS" w:hAnsi="Arial" w:cs="Arial"/>
          <w:sz w:val="24"/>
          <w:szCs w:val="24"/>
          <w:lang w:eastAsia="en-US"/>
        </w:rPr>
      </w:pPr>
    </w:p>
    <w:p w14:paraId="513C8C7D" w14:textId="77777777" w:rsidR="00B765C1" w:rsidRPr="000208A9" w:rsidRDefault="00B765C1" w:rsidP="00CB11CC">
      <w:pPr>
        <w:pStyle w:val="ListParagraph"/>
        <w:ind w:left="426"/>
        <w:rPr>
          <w:rFonts w:ascii="Arial" w:eastAsia="Arial Unicode MS" w:hAnsi="Arial" w:cs="Arial"/>
          <w:sz w:val="24"/>
          <w:szCs w:val="24"/>
          <w:lang w:eastAsia="en-US"/>
        </w:rPr>
      </w:pPr>
      <w:r w:rsidRPr="000208A9">
        <w:rPr>
          <w:rFonts w:ascii="Arial" w:eastAsia="Arial Unicode MS" w:hAnsi="Arial" w:cs="Arial"/>
          <w:sz w:val="24"/>
          <w:szCs w:val="24"/>
          <w:lang w:eastAsia="en-US"/>
        </w:rPr>
        <w:t xml:space="preserve">It is the personal responsibility of all staff to follow Trustwide research SOPs, policies and other procedural documents.  The Trust expects all research active staff to be able to demonstrate that they have read and adhere to those Trustwide research SOPs which are relevant to their practice.  </w:t>
      </w:r>
    </w:p>
    <w:p w14:paraId="1AE689D4" w14:textId="77777777" w:rsidR="00B765C1" w:rsidRPr="000208A9" w:rsidRDefault="00B765C1" w:rsidP="00CB11CC">
      <w:pPr>
        <w:pStyle w:val="ListParagraph"/>
        <w:ind w:left="426"/>
        <w:rPr>
          <w:rFonts w:ascii="Arial" w:eastAsia="Arial Unicode MS" w:hAnsi="Arial" w:cs="Arial"/>
          <w:sz w:val="24"/>
          <w:szCs w:val="24"/>
          <w:lang w:eastAsia="en-US"/>
        </w:rPr>
      </w:pPr>
    </w:p>
    <w:p w14:paraId="19424B81" w14:textId="77777777" w:rsidR="00B765C1" w:rsidRDefault="00B765C1" w:rsidP="00CB11CC">
      <w:pPr>
        <w:pStyle w:val="ListParagraph"/>
        <w:ind w:left="426"/>
        <w:rPr>
          <w:rFonts w:ascii="Arial" w:eastAsia="Arial Unicode MS" w:hAnsi="Arial" w:cs="Arial"/>
          <w:sz w:val="24"/>
          <w:szCs w:val="24"/>
          <w:lang w:eastAsia="en-US"/>
        </w:rPr>
      </w:pPr>
      <w:r w:rsidRPr="000208A9">
        <w:rPr>
          <w:rFonts w:ascii="Arial" w:eastAsia="Arial Unicode MS" w:hAnsi="Arial" w:cs="Arial"/>
          <w:sz w:val="24"/>
          <w:szCs w:val="24"/>
          <w:lang w:eastAsia="en-US"/>
        </w:rPr>
        <w:t>All staff are expected to maintain a training record to demonstrate that they have read and understood all SOPs and policies relevant to their role.  This record is expected to be kept up to date, with revised SOPs and policies being read and acknowledged in a timely manner.  The record should be made available for review by monitors, auditors and the regulatory authorities.  The Trust is not prescriptive about the form a training record should take, however evidence of adherence to Trustwide research SOPs and policies will be confirmed by research monitoring and audit.  A template ‘Standard Operating Procedures (SOPs) Declaration Form’ is available from Research Managers and the Research Office.</w:t>
      </w:r>
    </w:p>
    <w:p w14:paraId="1F576443" w14:textId="77777777" w:rsidR="006F31E3" w:rsidRPr="000208A9" w:rsidRDefault="006F31E3" w:rsidP="009C5CDE">
      <w:pPr>
        <w:pStyle w:val="ListParagraph"/>
        <w:ind w:left="360"/>
        <w:rPr>
          <w:rFonts w:ascii="Arial" w:eastAsia="Arial Unicode MS" w:hAnsi="Arial" w:cs="Arial"/>
          <w:sz w:val="24"/>
          <w:szCs w:val="24"/>
          <w:lang w:eastAsia="en-US"/>
        </w:rPr>
      </w:pPr>
    </w:p>
    <w:p w14:paraId="76AE345B" w14:textId="77777777" w:rsidR="00CB3769" w:rsidRPr="00071299" w:rsidRDefault="00071299" w:rsidP="00071299">
      <w:pPr>
        <w:pStyle w:val="NoSpacing"/>
        <w:ind w:left="426"/>
        <w:rPr>
          <w:rFonts w:eastAsia="Arial Unicode MS"/>
          <w:b/>
        </w:rPr>
      </w:pPr>
      <w:r>
        <w:rPr>
          <w:rFonts w:eastAsia="Arial Unicode MS"/>
          <w:b/>
        </w:rPr>
        <w:t>3.2</w:t>
      </w:r>
      <w:r>
        <w:rPr>
          <w:rFonts w:eastAsia="Arial Unicode MS"/>
          <w:b/>
        </w:rPr>
        <w:tab/>
      </w:r>
      <w:r w:rsidR="00CB3769" w:rsidRPr="00071299">
        <w:rPr>
          <w:rFonts w:eastAsia="Arial Unicode MS"/>
          <w:b/>
        </w:rPr>
        <w:t>Specific to this SOP</w:t>
      </w:r>
    </w:p>
    <w:p w14:paraId="141B74FB" w14:textId="77777777" w:rsidR="008A1ACE" w:rsidRDefault="00CB301B" w:rsidP="008A1ACE">
      <w:pPr>
        <w:pStyle w:val="NoSpacing"/>
        <w:ind w:left="426"/>
        <w:rPr>
          <w:rFonts w:eastAsia="Arial Unicode MS"/>
        </w:rPr>
      </w:pPr>
      <w:r w:rsidRPr="006A15B6">
        <w:rPr>
          <w:rFonts w:eastAsia="Arial Unicode MS"/>
        </w:rPr>
        <w:t xml:space="preserve">It is the responsibility of </w:t>
      </w:r>
      <w:r w:rsidRPr="00526494">
        <w:rPr>
          <w:rFonts w:eastAsia="Arial Unicode MS"/>
        </w:rPr>
        <w:t>the Trust as sponsor</w:t>
      </w:r>
      <w:r w:rsidRPr="006A15B6">
        <w:rPr>
          <w:rFonts w:eastAsia="Arial Unicode MS"/>
        </w:rPr>
        <w:t xml:space="preserve"> to ensure that </w:t>
      </w:r>
      <w:r>
        <w:rPr>
          <w:rFonts w:eastAsia="Arial Unicode MS"/>
        </w:rPr>
        <w:t>safety reporting</w:t>
      </w:r>
      <w:r w:rsidRPr="006A15B6">
        <w:rPr>
          <w:rFonts w:eastAsia="Arial Unicode MS"/>
        </w:rPr>
        <w:t xml:space="preserve"> responsibilities for </w:t>
      </w:r>
      <w:r>
        <w:rPr>
          <w:rFonts w:eastAsia="Arial Unicode MS"/>
        </w:rPr>
        <w:t xml:space="preserve">device </w:t>
      </w:r>
      <w:r w:rsidRPr="006A15B6">
        <w:rPr>
          <w:rFonts w:eastAsia="Arial Unicode MS"/>
        </w:rPr>
        <w:t xml:space="preserve">trials falling under </w:t>
      </w:r>
      <w:r w:rsidR="00EE4C6B">
        <w:rPr>
          <w:rFonts w:eastAsia="Arial Unicode MS"/>
        </w:rPr>
        <w:t>the</w:t>
      </w:r>
      <w:r w:rsidR="001A73C8">
        <w:rPr>
          <w:rFonts w:eastAsia="Arial Unicode MS"/>
        </w:rPr>
        <w:t xml:space="preserve"> </w:t>
      </w:r>
      <w:r w:rsidR="008003B1" w:rsidRPr="008003B1">
        <w:rPr>
          <w:rFonts w:eastAsia="Arial Unicode MS"/>
        </w:rPr>
        <w:t>MDR</w:t>
      </w:r>
      <w:r w:rsidRPr="008003B1">
        <w:rPr>
          <w:rFonts w:eastAsia="Arial Unicode MS"/>
        </w:rPr>
        <w:t xml:space="preserve"> </w:t>
      </w:r>
      <w:r w:rsidR="00EE4C6B">
        <w:rPr>
          <w:rFonts w:eastAsia="Arial Unicode MS"/>
        </w:rPr>
        <w:t xml:space="preserve">2002 </w:t>
      </w:r>
      <w:r w:rsidRPr="008003B1">
        <w:rPr>
          <w:rFonts w:eastAsia="Arial Unicode MS"/>
        </w:rPr>
        <w:t>are met in full.</w:t>
      </w:r>
      <w:r w:rsidRPr="006A15B6">
        <w:rPr>
          <w:rFonts w:eastAsia="Arial Unicode MS"/>
        </w:rPr>
        <w:t xml:space="preserve"> </w:t>
      </w:r>
      <w:r w:rsidR="008A1ACE">
        <w:rPr>
          <w:rFonts w:eastAsia="Arial Unicode MS"/>
        </w:rPr>
        <w:t>For the purposes of this SOP, the Research Office represents the Trust as sponsor.</w:t>
      </w:r>
    </w:p>
    <w:p w14:paraId="7C6386A4" w14:textId="77777777" w:rsidR="008A1ACE" w:rsidRDefault="008A1ACE" w:rsidP="008A1ACE">
      <w:pPr>
        <w:pStyle w:val="NoSpacing"/>
        <w:rPr>
          <w:rFonts w:eastAsia="Arial Unicode MS"/>
        </w:rPr>
      </w:pPr>
    </w:p>
    <w:p w14:paraId="11312A08" w14:textId="77777777" w:rsidR="00CB301B" w:rsidRDefault="0017711B" w:rsidP="00CB301B">
      <w:pPr>
        <w:spacing w:after="240"/>
        <w:ind w:left="426"/>
        <w:rPr>
          <w:rFonts w:eastAsia="Arial Unicode MS" w:cs="Arial"/>
          <w:szCs w:val="24"/>
        </w:rPr>
      </w:pPr>
      <w:r>
        <w:rPr>
          <w:rFonts w:eastAsia="Arial Unicode MS" w:cs="Arial"/>
          <w:szCs w:val="24"/>
        </w:rPr>
        <w:t xml:space="preserve">The Trust, as sponsor, will submit all reportable events and </w:t>
      </w:r>
      <w:r w:rsidR="0057785B">
        <w:rPr>
          <w:rFonts w:eastAsia="Arial Unicode MS" w:cs="Arial"/>
          <w:szCs w:val="24"/>
        </w:rPr>
        <w:t xml:space="preserve">any required </w:t>
      </w:r>
      <w:r>
        <w:rPr>
          <w:rFonts w:eastAsia="Arial Unicode MS" w:cs="Arial"/>
          <w:szCs w:val="24"/>
        </w:rPr>
        <w:t xml:space="preserve">summary reports to the MHRA </w:t>
      </w:r>
      <w:r w:rsidR="0057785B">
        <w:rPr>
          <w:rFonts w:eastAsia="Arial Unicode MS" w:cs="Arial"/>
          <w:szCs w:val="24"/>
        </w:rPr>
        <w:t xml:space="preserve">unless this is </w:t>
      </w:r>
      <w:r w:rsidR="007555D9">
        <w:rPr>
          <w:rFonts w:eastAsia="Arial Unicode MS" w:cs="Arial"/>
          <w:szCs w:val="24"/>
        </w:rPr>
        <w:t xml:space="preserve">formally </w:t>
      </w:r>
      <w:r w:rsidR="0057785B">
        <w:rPr>
          <w:rFonts w:eastAsia="Arial Unicode MS" w:cs="Arial"/>
          <w:szCs w:val="24"/>
        </w:rPr>
        <w:t>delegated to the CI</w:t>
      </w:r>
      <w:r w:rsidR="00A06C19">
        <w:rPr>
          <w:rFonts w:eastAsia="Arial Unicode MS" w:cs="Arial"/>
          <w:szCs w:val="24"/>
        </w:rPr>
        <w:t xml:space="preserve"> or a third party</w:t>
      </w:r>
      <w:r w:rsidR="0057785B">
        <w:rPr>
          <w:rFonts w:eastAsia="Arial Unicode MS" w:cs="Arial"/>
          <w:szCs w:val="24"/>
        </w:rPr>
        <w:t>.</w:t>
      </w:r>
      <w:r w:rsidR="00CB301B" w:rsidRPr="006A15B6">
        <w:rPr>
          <w:rFonts w:eastAsia="Arial Unicode MS" w:cs="Arial"/>
          <w:szCs w:val="24"/>
        </w:rPr>
        <w:t xml:space="preserve"> </w:t>
      </w:r>
    </w:p>
    <w:p w14:paraId="2626307A" w14:textId="77777777" w:rsidR="0017711B" w:rsidRPr="006A15B6" w:rsidRDefault="0057785B" w:rsidP="00CB301B">
      <w:pPr>
        <w:spacing w:after="240"/>
        <w:ind w:left="426"/>
        <w:rPr>
          <w:rFonts w:eastAsia="Arial Unicode MS" w:cs="Arial"/>
          <w:szCs w:val="24"/>
        </w:rPr>
      </w:pPr>
      <w:r>
        <w:rPr>
          <w:rFonts w:eastAsia="Arial Unicode MS" w:cs="Arial"/>
          <w:bCs/>
          <w:szCs w:val="24"/>
        </w:rPr>
        <w:t>The s</w:t>
      </w:r>
      <w:r w:rsidR="0017711B">
        <w:rPr>
          <w:rFonts w:eastAsia="Arial Unicode MS" w:cs="Arial"/>
          <w:bCs/>
          <w:szCs w:val="24"/>
        </w:rPr>
        <w:t>ponsor or CI may take appropriate urgent safety measures in order to protect research participants against immediate hazard to their health or safety, without prior authorisation from the REC or MHRA.</w:t>
      </w:r>
      <w:r w:rsidR="0017711B" w:rsidRPr="00490802">
        <w:rPr>
          <w:rFonts w:eastAsia="Arial Unicode MS" w:cs="Arial"/>
          <w:bCs/>
          <w:szCs w:val="24"/>
        </w:rPr>
        <w:t xml:space="preserve"> It is the CI’s responsibility to ensure that any urgent safety measures required to prevent harm to participants are effectively implemented</w:t>
      </w:r>
      <w:r>
        <w:rPr>
          <w:rFonts w:eastAsia="Arial Unicode MS" w:cs="Arial"/>
          <w:bCs/>
          <w:szCs w:val="24"/>
        </w:rPr>
        <w:t xml:space="preserve"> at all research sites</w:t>
      </w:r>
      <w:r w:rsidR="0017711B" w:rsidRPr="00490802">
        <w:rPr>
          <w:rFonts w:eastAsia="Arial Unicode MS" w:cs="Arial"/>
          <w:bCs/>
          <w:szCs w:val="24"/>
        </w:rPr>
        <w:t>.</w:t>
      </w:r>
      <w:r w:rsidR="0017711B" w:rsidRPr="00490802">
        <w:rPr>
          <w:rFonts w:eastAsia="Arial Unicode MS" w:cs="Arial"/>
          <w:szCs w:val="24"/>
        </w:rPr>
        <w:t xml:space="preserve">  </w:t>
      </w:r>
    </w:p>
    <w:p w14:paraId="221E7B4F" w14:textId="77777777" w:rsidR="00383257" w:rsidRPr="006A15B6" w:rsidRDefault="0017711B" w:rsidP="0017711B">
      <w:pPr>
        <w:spacing w:after="240"/>
        <w:ind w:left="426"/>
        <w:rPr>
          <w:rFonts w:eastAsia="Arial Unicode MS" w:cs="Arial"/>
          <w:szCs w:val="24"/>
        </w:rPr>
      </w:pPr>
      <w:r w:rsidRPr="006A15B6">
        <w:rPr>
          <w:rFonts w:eastAsia="Arial Unicode MS" w:cs="Arial"/>
          <w:szCs w:val="24"/>
        </w:rPr>
        <w:t xml:space="preserve">It is the responsibility of the </w:t>
      </w:r>
      <w:r w:rsidRPr="00526494">
        <w:rPr>
          <w:rFonts w:eastAsia="Arial Unicode MS" w:cs="Arial"/>
          <w:szCs w:val="24"/>
        </w:rPr>
        <w:t>Investigator t</w:t>
      </w:r>
      <w:r>
        <w:rPr>
          <w:rFonts w:eastAsia="Arial Unicode MS" w:cs="Arial"/>
          <w:szCs w:val="24"/>
        </w:rPr>
        <w:t xml:space="preserve">o </w:t>
      </w:r>
      <w:r w:rsidR="0057785B">
        <w:rPr>
          <w:rFonts w:eastAsia="Arial Unicode MS" w:cs="Arial"/>
          <w:szCs w:val="24"/>
        </w:rPr>
        <w:t>conduct</w:t>
      </w:r>
      <w:r w:rsidRPr="006A15B6">
        <w:rPr>
          <w:rFonts w:eastAsia="Arial Unicode MS" w:cs="Arial"/>
          <w:szCs w:val="24"/>
        </w:rPr>
        <w:t xml:space="preserve"> </w:t>
      </w:r>
      <w:r>
        <w:rPr>
          <w:rFonts w:eastAsia="Arial Unicode MS" w:cs="Arial"/>
          <w:szCs w:val="24"/>
        </w:rPr>
        <w:t xml:space="preserve">safety reporting </w:t>
      </w:r>
      <w:r w:rsidRPr="006A15B6">
        <w:rPr>
          <w:rFonts w:eastAsia="Arial Unicode MS" w:cs="Arial"/>
          <w:szCs w:val="24"/>
        </w:rPr>
        <w:t xml:space="preserve">responsibilities as defined in </w:t>
      </w:r>
      <w:r>
        <w:rPr>
          <w:rFonts w:eastAsia="Arial Unicode MS" w:cs="Arial"/>
          <w:szCs w:val="24"/>
        </w:rPr>
        <w:t>the MDR</w:t>
      </w:r>
      <w:r w:rsidR="00B749D2">
        <w:rPr>
          <w:rFonts w:eastAsia="Arial Unicode MS" w:cs="Arial"/>
          <w:szCs w:val="24"/>
        </w:rPr>
        <w:t xml:space="preserve"> 2002</w:t>
      </w:r>
      <w:r>
        <w:rPr>
          <w:rFonts w:eastAsia="Arial Unicode MS" w:cs="Arial"/>
          <w:szCs w:val="24"/>
        </w:rPr>
        <w:t xml:space="preserve">, this SOP and the approved protocol. </w:t>
      </w:r>
      <w:r w:rsidR="00383257" w:rsidRPr="006A15B6">
        <w:rPr>
          <w:rFonts w:eastAsia="Arial Unicode MS" w:cs="Arial"/>
          <w:bCs/>
          <w:szCs w:val="24"/>
        </w:rPr>
        <w:t xml:space="preserve">The CI or a </w:t>
      </w:r>
      <w:r w:rsidR="0057785B">
        <w:rPr>
          <w:rFonts w:eastAsia="Arial Unicode MS" w:cs="Arial"/>
          <w:bCs/>
          <w:szCs w:val="24"/>
        </w:rPr>
        <w:t>suitable</w:t>
      </w:r>
      <w:r w:rsidR="00383257" w:rsidRPr="006A15B6">
        <w:rPr>
          <w:rFonts w:eastAsia="Arial Unicode MS" w:cs="Arial"/>
          <w:bCs/>
          <w:szCs w:val="24"/>
        </w:rPr>
        <w:t xml:space="preserve"> delegate (or, for multi-site trials, the PI at site or </w:t>
      </w:r>
      <w:r w:rsidR="0057785B">
        <w:rPr>
          <w:rFonts w:eastAsia="Arial Unicode MS" w:cs="Arial"/>
          <w:bCs/>
          <w:szCs w:val="24"/>
        </w:rPr>
        <w:t xml:space="preserve">suitable </w:t>
      </w:r>
      <w:r w:rsidR="00383257" w:rsidRPr="006A15B6">
        <w:rPr>
          <w:rFonts w:eastAsia="Arial Unicode MS" w:cs="Arial"/>
          <w:bCs/>
          <w:szCs w:val="24"/>
        </w:rPr>
        <w:t xml:space="preserve">delegate) is responsible for eliciting details of any </w:t>
      </w:r>
      <w:r w:rsidR="00526494">
        <w:rPr>
          <w:rFonts w:eastAsia="Arial Unicode MS" w:cs="Arial"/>
          <w:bCs/>
          <w:szCs w:val="24"/>
        </w:rPr>
        <w:t>a</w:t>
      </w:r>
      <w:r w:rsidR="00383257" w:rsidRPr="006A15B6">
        <w:rPr>
          <w:rFonts w:eastAsia="Arial Unicode MS" w:cs="Arial"/>
          <w:bCs/>
          <w:szCs w:val="24"/>
        </w:rPr>
        <w:t xml:space="preserve">dverse </w:t>
      </w:r>
      <w:r w:rsidR="00526494">
        <w:rPr>
          <w:rFonts w:eastAsia="Arial Unicode MS" w:cs="Arial"/>
          <w:bCs/>
          <w:szCs w:val="24"/>
        </w:rPr>
        <w:t>e</w:t>
      </w:r>
      <w:r w:rsidR="00383257" w:rsidRPr="006A15B6">
        <w:rPr>
          <w:rFonts w:eastAsia="Arial Unicode MS" w:cs="Arial"/>
          <w:bCs/>
          <w:szCs w:val="24"/>
        </w:rPr>
        <w:t xml:space="preserve">vents </w:t>
      </w:r>
      <w:r w:rsidR="00383257">
        <w:rPr>
          <w:rFonts w:eastAsia="Arial Unicode MS" w:cs="Arial"/>
          <w:bCs/>
          <w:szCs w:val="24"/>
        </w:rPr>
        <w:t xml:space="preserve">or </w:t>
      </w:r>
      <w:r w:rsidR="00526494">
        <w:rPr>
          <w:rFonts w:eastAsia="Arial Unicode MS" w:cs="Arial"/>
          <w:bCs/>
          <w:szCs w:val="24"/>
        </w:rPr>
        <w:t>d</w:t>
      </w:r>
      <w:r w:rsidR="00383257">
        <w:rPr>
          <w:rFonts w:eastAsia="Arial Unicode MS" w:cs="Arial"/>
          <w:bCs/>
          <w:szCs w:val="24"/>
        </w:rPr>
        <w:t xml:space="preserve">evice </w:t>
      </w:r>
      <w:r w:rsidR="00526494">
        <w:rPr>
          <w:rFonts w:eastAsia="Arial Unicode MS" w:cs="Arial"/>
          <w:bCs/>
          <w:szCs w:val="24"/>
        </w:rPr>
        <w:t>e</w:t>
      </w:r>
      <w:r w:rsidR="00383257">
        <w:rPr>
          <w:rFonts w:eastAsia="Arial Unicode MS" w:cs="Arial"/>
          <w:bCs/>
          <w:szCs w:val="24"/>
        </w:rPr>
        <w:t>ffects</w:t>
      </w:r>
      <w:r w:rsidR="00383257" w:rsidRPr="006A15B6">
        <w:rPr>
          <w:rFonts w:eastAsia="Arial Unicode MS" w:cs="Arial"/>
          <w:bCs/>
          <w:szCs w:val="24"/>
        </w:rPr>
        <w:t xml:space="preserve"> at each study visit by the participant, or as otherwise specified in the protocol, and ensuring that these are </w:t>
      </w:r>
      <w:r w:rsidR="00526494" w:rsidRPr="006A15B6">
        <w:rPr>
          <w:rFonts w:eastAsia="Arial Unicode MS" w:cs="Arial"/>
          <w:bCs/>
          <w:szCs w:val="24"/>
        </w:rPr>
        <w:t>reported,</w:t>
      </w:r>
      <w:r w:rsidR="00526494">
        <w:rPr>
          <w:rFonts w:eastAsia="Arial Unicode MS" w:cs="Arial"/>
          <w:bCs/>
          <w:szCs w:val="24"/>
        </w:rPr>
        <w:t xml:space="preserve"> </w:t>
      </w:r>
      <w:r w:rsidR="00383257" w:rsidRPr="006A15B6">
        <w:rPr>
          <w:rFonts w:eastAsia="Arial Unicode MS" w:cs="Arial"/>
          <w:bCs/>
          <w:szCs w:val="24"/>
        </w:rPr>
        <w:t xml:space="preserve">recorded and evaluated appropriately.  </w:t>
      </w:r>
    </w:p>
    <w:p w14:paraId="066D4804" w14:textId="77777777" w:rsidR="00A20463" w:rsidRDefault="00383257" w:rsidP="00A20463">
      <w:pPr>
        <w:tabs>
          <w:tab w:val="left" w:pos="142"/>
        </w:tabs>
        <w:spacing w:after="240"/>
        <w:ind w:left="426"/>
        <w:rPr>
          <w:rFonts w:eastAsia="Arial Unicode MS" w:cs="Arial"/>
          <w:szCs w:val="24"/>
        </w:rPr>
      </w:pPr>
      <w:r w:rsidRPr="006A15B6">
        <w:rPr>
          <w:rFonts w:eastAsia="Arial Unicode MS" w:cs="Arial"/>
          <w:bCs/>
          <w:szCs w:val="24"/>
        </w:rPr>
        <w:t xml:space="preserve">The CI or </w:t>
      </w:r>
      <w:r w:rsidR="0057785B">
        <w:rPr>
          <w:rFonts w:eastAsia="Arial Unicode MS" w:cs="Arial"/>
          <w:bCs/>
          <w:szCs w:val="24"/>
        </w:rPr>
        <w:t>suitable</w:t>
      </w:r>
      <w:r w:rsidRPr="006A15B6">
        <w:rPr>
          <w:rFonts w:eastAsia="Arial Unicode MS" w:cs="Arial"/>
          <w:bCs/>
          <w:szCs w:val="24"/>
        </w:rPr>
        <w:t xml:space="preserve"> delegate (or</w:t>
      </w:r>
      <w:r w:rsidR="00283D0E">
        <w:rPr>
          <w:rFonts w:eastAsia="Arial Unicode MS" w:cs="Arial"/>
          <w:bCs/>
          <w:szCs w:val="24"/>
        </w:rPr>
        <w:t xml:space="preserve"> </w:t>
      </w:r>
      <w:r w:rsidRPr="006A15B6">
        <w:rPr>
          <w:rFonts w:eastAsia="Arial Unicode MS" w:cs="Arial"/>
          <w:bCs/>
          <w:szCs w:val="24"/>
        </w:rPr>
        <w:t xml:space="preserve">the </w:t>
      </w:r>
      <w:r w:rsidR="00283D0E">
        <w:rPr>
          <w:rFonts w:eastAsia="Arial Unicode MS" w:cs="Arial"/>
          <w:bCs/>
          <w:szCs w:val="24"/>
        </w:rPr>
        <w:t xml:space="preserve">site </w:t>
      </w:r>
      <w:r w:rsidRPr="006A15B6">
        <w:rPr>
          <w:rFonts w:eastAsia="Arial Unicode MS" w:cs="Arial"/>
          <w:bCs/>
          <w:szCs w:val="24"/>
        </w:rPr>
        <w:t xml:space="preserve">PI or </w:t>
      </w:r>
      <w:r w:rsidR="0057785B">
        <w:rPr>
          <w:rFonts w:eastAsia="Arial Unicode MS" w:cs="Arial"/>
          <w:bCs/>
          <w:szCs w:val="24"/>
        </w:rPr>
        <w:t>suitable</w:t>
      </w:r>
      <w:r w:rsidRPr="006A15B6">
        <w:rPr>
          <w:rFonts w:eastAsia="Arial Unicode MS" w:cs="Arial"/>
          <w:bCs/>
          <w:szCs w:val="24"/>
        </w:rPr>
        <w:t xml:space="preserve"> delegate)</w:t>
      </w:r>
      <w:r w:rsidRPr="006A15B6">
        <w:rPr>
          <w:rFonts w:eastAsia="Arial Unicode MS" w:cs="Arial"/>
          <w:szCs w:val="24"/>
        </w:rPr>
        <w:t xml:space="preserve"> is responsible for providing the Investigator assessment of </w:t>
      </w:r>
      <w:r w:rsidRPr="006A15B6">
        <w:rPr>
          <w:rFonts w:eastAsia="Arial Unicode MS" w:cs="Arial"/>
          <w:b/>
          <w:szCs w:val="24"/>
        </w:rPr>
        <w:t>‘</w:t>
      </w:r>
      <w:r w:rsidRPr="00A67678">
        <w:rPr>
          <w:rFonts w:eastAsia="Arial Unicode MS" w:cs="Arial"/>
          <w:szCs w:val="24"/>
        </w:rPr>
        <w:t xml:space="preserve">relatedness’ of an event to the </w:t>
      </w:r>
      <w:r w:rsidR="008F6A64">
        <w:rPr>
          <w:rFonts w:eastAsia="Arial Unicode MS" w:cs="Arial"/>
          <w:szCs w:val="24"/>
        </w:rPr>
        <w:t>i</w:t>
      </w:r>
      <w:r w:rsidRPr="00A67678">
        <w:rPr>
          <w:rFonts w:eastAsia="Arial Unicode MS" w:cs="Arial"/>
          <w:szCs w:val="24"/>
        </w:rPr>
        <w:t xml:space="preserve">nvestigational </w:t>
      </w:r>
      <w:r w:rsidR="008F6A64">
        <w:rPr>
          <w:rFonts w:eastAsia="Arial Unicode MS" w:cs="Arial"/>
          <w:szCs w:val="24"/>
        </w:rPr>
        <w:t>m</w:t>
      </w:r>
      <w:r w:rsidRPr="00A67678">
        <w:rPr>
          <w:rFonts w:eastAsia="Arial Unicode MS" w:cs="Arial"/>
          <w:szCs w:val="24"/>
        </w:rPr>
        <w:t xml:space="preserve">edical </w:t>
      </w:r>
      <w:r w:rsidR="008F6A64">
        <w:rPr>
          <w:rFonts w:eastAsia="Arial Unicode MS" w:cs="Arial"/>
          <w:szCs w:val="24"/>
        </w:rPr>
        <w:t>d</w:t>
      </w:r>
      <w:r w:rsidRPr="00A67678">
        <w:rPr>
          <w:rFonts w:eastAsia="Arial Unicode MS" w:cs="Arial"/>
          <w:szCs w:val="24"/>
        </w:rPr>
        <w:t xml:space="preserve">evice.  This means assessing whether or not the event is an effect of the device.  The CI </w:t>
      </w:r>
      <w:r w:rsidR="00283D0E">
        <w:rPr>
          <w:rFonts w:eastAsia="Arial Unicode MS" w:cs="Arial"/>
          <w:szCs w:val="24"/>
        </w:rPr>
        <w:t>or PI</w:t>
      </w:r>
      <w:r w:rsidRPr="00A67678">
        <w:rPr>
          <w:rFonts w:eastAsia="Arial Unicode MS" w:cs="Arial"/>
          <w:szCs w:val="24"/>
        </w:rPr>
        <w:t xml:space="preserve"> is </w:t>
      </w:r>
      <w:r w:rsidR="00B57787">
        <w:rPr>
          <w:rFonts w:eastAsia="Arial Unicode MS" w:cs="Arial"/>
          <w:szCs w:val="24"/>
        </w:rPr>
        <w:t xml:space="preserve">also </w:t>
      </w:r>
      <w:r w:rsidRPr="00A67678">
        <w:rPr>
          <w:rFonts w:eastAsia="Arial Unicode MS" w:cs="Arial"/>
          <w:szCs w:val="24"/>
        </w:rPr>
        <w:t>responsible for assessing the ‘expectedness’ of events which are determined to be related to the device.  This means</w:t>
      </w:r>
      <w:r w:rsidRPr="006A15B6">
        <w:rPr>
          <w:rFonts w:eastAsia="Arial Unicode MS" w:cs="Arial"/>
          <w:szCs w:val="24"/>
        </w:rPr>
        <w:t xml:space="preserve"> assessing whether or not the adverse </w:t>
      </w:r>
      <w:r>
        <w:rPr>
          <w:rFonts w:eastAsia="Arial Unicode MS" w:cs="Arial"/>
          <w:szCs w:val="24"/>
        </w:rPr>
        <w:t>effect</w:t>
      </w:r>
      <w:r w:rsidRPr="006A15B6">
        <w:rPr>
          <w:rFonts w:eastAsia="Arial Unicode MS" w:cs="Arial"/>
          <w:szCs w:val="24"/>
        </w:rPr>
        <w:t xml:space="preserve"> is an </w:t>
      </w:r>
      <w:r w:rsidRPr="008F6A64">
        <w:rPr>
          <w:rFonts w:eastAsia="Arial Unicode MS" w:cs="Arial"/>
          <w:szCs w:val="24"/>
        </w:rPr>
        <w:t xml:space="preserve">expected </w:t>
      </w:r>
      <w:r>
        <w:rPr>
          <w:rFonts w:eastAsia="Arial Unicode MS" w:cs="Arial"/>
          <w:szCs w:val="24"/>
        </w:rPr>
        <w:t>effect of the device</w:t>
      </w:r>
      <w:r w:rsidRPr="006A15B6">
        <w:rPr>
          <w:rFonts w:eastAsia="Arial Unicode MS" w:cs="Arial"/>
          <w:szCs w:val="24"/>
        </w:rPr>
        <w:t xml:space="preserve">.  </w:t>
      </w:r>
    </w:p>
    <w:p w14:paraId="29706B6A" w14:textId="77777777" w:rsidR="00A20463" w:rsidRPr="006A15B6" w:rsidRDefault="00A20463" w:rsidP="00A20463">
      <w:pPr>
        <w:tabs>
          <w:tab w:val="left" w:pos="142"/>
        </w:tabs>
        <w:spacing w:after="240"/>
        <w:ind w:left="426"/>
        <w:rPr>
          <w:rFonts w:eastAsia="Arial Unicode MS" w:cs="Arial"/>
          <w:szCs w:val="24"/>
        </w:rPr>
      </w:pPr>
      <w:r>
        <w:rPr>
          <w:rFonts w:eastAsia="Arial Unicode MS" w:cs="Arial"/>
          <w:szCs w:val="24"/>
        </w:rPr>
        <w:lastRenderedPageBreak/>
        <w:t>Where a PI has assessed an event at a participating site, the</w:t>
      </w:r>
      <w:r w:rsidRPr="006A15B6">
        <w:rPr>
          <w:rFonts w:eastAsia="Arial Unicode MS" w:cs="Arial"/>
          <w:szCs w:val="24"/>
        </w:rPr>
        <w:t xml:space="preserve"> CI must then perform the sponsor’s assessment of ‘relatedness’ and ‘expectedness’ of the event using the relevant section of the </w:t>
      </w:r>
      <w:r w:rsidR="001A73C8">
        <w:rPr>
          <w:rFonts w:eastAsia="Arial Unicode MS" w:cs="Arial"/>
          <w:szCs w:val="24"/>
        </w:rPr>
        <w:t xml:space="preserve">Trust </w:t>
      </w:r>
      <w:r>
        <w:rPr>
          <w:rFonts w:eastAsia="Arial Unicode MS" w:cs="Arial"/>
          <w:szCs w:val="24"/>
        </w:rPr>
        <w:t xml:space="preserve">Device </w:t>
      </w:r>
      <w:r w:rsidRPr="006A15B6">
        <w:rPr>
          <w:rFonts w:eastAsia="Arial Unicode MS" w:cs="Arial"/>
          <w:szCs w:val="24"/>
        </w:rPr>
        <w:t>SAE form.  This duty may only be delegated to another Investigator</w:t>
      </w:r>
      <w:r w:rsidR="0057785B">
        <w:rPr>
          <w:rFonts w:eastAsia="Arial Unicode MS" w:cs="Arial"/>
          <w:szCs w:val="24"/>
        </w:rPr>
        <w:t xml:space="preserve"> with the sponsor’s permission.</w:t>
      </w:r>
      <w:r w:rsidRPr="006A15B6">
        <w:rPr>
          <w:rFonts w:eastAsia="Arial Unicode MS" w:cs="Arial"/>
          <w:szCs w:val="24"/>
        </w:rPr>
        <w:t xml:space="preserve"> The Trust may ask a senior clinician who is independent of the research team to provide either the sponsor’s opinion or a second opinion under certain circumstances (principally where the CI is the Investigator providing the initial assessment).</w:t>
      </w:r>
      <w:r>
        <w:rPr>
          <w:rFonts w:eastAsia="Arial Unicode MS" w:cs="Arial"/>
          <w:szCs w:val="24"/>
        </w:rPr>
        <w:t xml:space="preserve"> </w:t>
      </w:r>
      <w:r w:rsidRPr="006A15B6">
        <w:rPr>
          <w:rFonts w:eastAsia="Arial Unicode MS" w:cs="Arial"/>
          <w:szCs w:val="24"/>
        </w:rPr>
        <w:t xml:space="preserve">This assessment must be documented using the relevant section of the </w:t>
      </w:r>
      <w:r w:rsidR="00EE4C6B">
        <w:rPr>
          <w:rFonts w:eastAsia="Arial Unicode MS" w:cs="Arial"/>
          <w:szCs w:val="24"/>
        </w:rPr>
        <w:t xml:space="preserve">Trust’s </w:t>
      </w:r>
      <w:r>
        <w:rPr>
          <w:rFonts w:eastAsia="Arial Unicode MS" w:cs="Arial"/>
          <w:szCs w:val="24"/>
        </w:rPr>
        <w:t xml:space="preserve">Clinical Investigation of a Medical Device </w:t>
      </w:r>
      <w:r w:rsidRPr="006A15B6">
        <w:rPr>
          <w:rFonts w:eastAsia="Arial Unicode MS" w:cs="Arial"/>
          <w:szCs w:val="24"/>
        </w:rPr>
        <w:t>SAE form.</w:t>
      </w:r>
    </w:p>
    <w:p w14:paraId="58D5908E" w14:textId="77777777" w:rsidR="00A20463" w:rsidRPr="006A15B6" w:rsidRDefault="008F6A64" w:rsidP="00A20463">
      <w:pPr>
        <w:tabs>
          <w:tab w:val="left" w:pos="142"/>
        </w:tabs>
        <w:spacing w:after="240"/>
        <w:ind w:left="426"/>
        <w:rPr>
          <w:rFonts w:eastAsia="Arial Unicode MS" w:cs="Arial"/>
          <w:szCs w:val="24"/>
        </w:rPr>
      </w:pPr>
      <w:r>
        <w:rPr>
          <w:rFonts w:eastAsia="Arial Unicode MS" w:cs="Arial"/>
          <w:szCs w:val="24"/>
        </w:rPr>
        <w:t>Where the sponsor</w:t>
      </w:r>
      <w:r w:rsidR="00EE4C6B">
        <w:rPr>
          <w:rFonts w:eastAsia="Arial Unicode MS" w:cs="Arial"/>
          <w:szCs w:val="24"/>
        </w:rPr>
        <w:t>’s</w:t>
      </w:r>
      <w:r>
        <w:rPr>
          <w:rFonts w:eastAsia="Arial Unicode MS" w:cs="Arial"/>
          <w:szCs w:val="24"/>
        </w:rPr>
        <w:t xml:space="preserve"> or </w:t>
      </w:r>
      <w:r w:rsidR="00A20463" w:rsidRPr="006A15B6">
        <w:rPr>
          <w:rFonts w:eastAsia="Arial Unicode MS" w:cs="Arial"/>
          <w:szCs w:val="24"/>
        </w:rPr>
        <w:t>CI</w:t>
      </w:r>
      <w:r w:rsidR="00EE4C6B">
        <w:rPr>
          <w:rFonts w:eastAsia="Arial Unicode MS" w:cs="Arial"/>
          <w:szCs w:val="24"/>
        </w:rPr>
        <w:t>’s</w:t>
      </w:r>
      <w:r w:rsidR="00A20463" w:rsidRPr="006A15B6">
        <w:rPr>
          <w:rFonts w:eastAsia="Arial Unicode MS" w:cs="Arial"/>
          <w:szCs w:val="24"/>
        </w:rPr>
        <w:t xml:space="preserve"> opinion differs from that of </w:t>
      </w:r>
      <w:r w:rsidR="00A06C19">
        <w:rPr>
          <w:rFonts w:eastAsia="Arial Unicode MS" w:cs="Arial"/>
          <w:szCs w:val="24"/>
        </w:rPr>
        <w:t>a</w:t>
      </w:r>
      <w:r w:rsidR="00A20463" w:rsidRPr="006A15B6">
        <w:rPr>
          <w:rFonts w:eastAsia="Arial Unicode MS" w:cs="Arial"/>
          <w:szCs w:val="24"/>
        </w:rPr>
        <w:t xml:space="preserve"> site PI</w:t>
      </w:r>
      <w:r>
        <w:rPr>
          <w:rFonts w:eastAsia="Arial Unicode MS" w:cs="Arial"/>
          <w:szCs w:val="24"/>
        </w:rPr>
        <w:t>,</w:t>
      </w:r>
      <w:r w:rsidR="00A20463" w:rsidRPr="006A15B6">
        <w:rPr>
          <w:rFonts w:eastAsia="Arial Unicode MS" w:cs="Arial"/>
          <w:szCs w:val="24"/>
        </w:rPr>
        <w:t xml:space="preserve"> </w:t>
      </w:r>
      <w:r w:rsidR="00283D0E">
        <w:rPr>
          <w:rFonts w:eastAsia="Arial Unicode MS" w:cs="Arial"/>
          <w:szCs w:val="24"/>
        </w:rPr>
        <w:t xml:space="preserve">neither can </w:t>
      </w:r>
      <w:r w:rsidR="00A20463" w:rsidRPr="006A15B6">
        <w:rPr>
          <w:rFonts w:eastAsia="Arial Unicode MS" w:cs="Arial"/>
          <w:szCs w:val="24"/>
        </w:rPr>
        <w:t>downgrade the PI</w:t>
      </w:r>
      <w:r w:rsidR="00A06C19">
        <w:rPr>
          <w:rFonts w:eastAsia="Arial Unicode MS" w:cs="Arial"/>
          <w:szCs w:val="24"/>
        </w:rPr>
        <w:t>’s</w:t>
      </w:r>
      <w:r w:rsidR="00A20463" w:rsidRPr="006A15B6">
        <w:rPr>
          <w:rFonts w:eastAsia="Arial Unicode MS" w:cs="Arial"/>
          <w:szCs w:val="24"/>
        </w:rPr>
        <w:t xml:space="preserve"> opinion without formal written evidence from th</w:t>
      </w:r>
      <w:r>
        <w:rPr>
          <w:rFonts w:eastAsia="Arial Unicode MS" w:cs="Arial"/>
          <w:szCs w:val="24"/>
        </w:rPr>
        <w:t>at</w:t>
      </w:r>
      <w:r w:rsidR="00A20463" w:rsidRPr="006A15B6">
        <w:rPr>
          <w:rFonts w:eastAsia="Arial Unicode MS" w:cs="Arial"/>
          <w:szCs w:val="24"/>
        </w:rPr>
        <w:t xml:space="preserve"> PI of </w:t>
      </w:r>
      <w:r w:rsidR="00283D0E">
        <w:rPr>
          <w:rFonts w:eastAsia="Arial Unicode MS" w:cs="Arial"/>
          <w:szCs w:val="24"/>
        </w:rPr>
        <w:t>their</w:t>
      </w:r>
      <w:r w:rsidR="00A20463" w:rsidRPr="006A15B6">
        <w:rPr>
          <w:rFonts w:eastAsia="Arial Unicode MS" w:cs="Arial"/>
          <w:szCs w:val="24"/>
        </w:rPr>
        <w:t xml:space="preserve"> agreement to </w:t>
      </w:r>
      <w:r w:rsidR="00A06C19">
        <w:rPr>
          <w:rFonts w:eastAsia="Arial Unicode MS" w:cs="Arial"/>
          <w:szCs w:val="24"/>
        </w:rPr>
        <w:t>such a</w:t>
      </w:r>
      <w:r w:rsidR="00A20463" w:rsidRPr="006A15B6">
        <w:rPr>
          <w:rFonts w:eastAsia="Arial Unicode MS" w:cs="Arial"/>
          <w:szCs w:val="24"/>
        </w:rPr>
        <w:t xml:space="preserve"> change.  </w:t>
      </w:r>
    </w:p>
    <w:p w14:paraId="141789A1" w14:textId="77777777" w:rsidR="00644348" w:rsidRPr="006A15B6" w:rsidRDefault="00900CBC" w:rsidP="00644348">
      <w:pPr>
        <w:tabs>
          <w:tab w:val="left" w:pos="142"/>
        </w:tabs>
        <w:spacing w:after="240"/>
        <w:ind w:left="426"/>
        <w:rPr>
          <w:rFonts w:eastAsia="Arial Unicode MS" w:cs="Arial"/>
          <w:szCs w:val="24"/>
        </w:rPr>
      </w:pPr>
      <w:r w:rsidRPr="006A15B6">
        <w:rPr>
          <w:rFonts w:eastAsia="Arial Unicode MS" w:cs="Arial"/>
          <w:szCs w:val="24"/>
        </w:rPr>
        <w:t>Whe</w:t>
      </w:r>
      <w:r w:rsidR="0057785B">
        <w:rPr>
          <w:rFonts w:eastAsia="Arial Unicode MS" w:cs="Arial"/>
          <w:szCs w:val="24"/>
        </w:rPr>
        <w:t>re</w:t>
      </w:r>
      <w:r w:rsidRPr="006A15B6">
        <w:rPr>
          <w:rFonts w:eastAsia="Arial Unicode MS" w:cs="Arial"/>
          <w:szCs w:val="24"/>
        </w:rPr>
        <w:t xml:space="preserve"> the Trust sponsors a multi-site </w:t>
      </w:r>
      <w:r>
        <w:rPr>
          <w:rFonts w:eastAsia="Arial Unicode MS" w:cs="Arial"/>
          <w:szCs w:val="24"/>
        </w:rPr>
        <w:t>Clinical Investigation of a Medical Device</w:t>
      </w:r>
      <w:r w:rsidRPr="006A15B6">
        <w:rPr>
          <w:rFonts w:eastAsia="Arial Unicode MS" w:cs="Arial"/>
          <w:szCs w:val="24"/>
        </w:rPr>
        <w:t xml:space="preserve">, the sponsor ‘safety desk’ responsibility </w:t>
      </w:r>
      <w:r w:rsidR="00644348">
        <w:rPr>
          <w:rFonts w:eastAsia="Arial Unicode MS" w:cs="Arial"/>
          <w:szCs w:val="24"/>
        </w:rPr>
        <w:t xml:space="preserve">is delegated </w:t>
      </w:r>
      <w:r w:rsidRPr="006A15B6">
        <w:rPr>
          <w:rFonts w:eastAsia="Arial Unicode MS" w:cs="Arial"/>
          <w:szCs w:val="24"/>
        </w:rPr>
        <w:t xml:space="preserve">to the CI.  </w:t>
      </w:r>
      <w:r w:rsidR="00644348" w:rsidRPr="006A15B6">
        <w:rPr>
          <w:rFonts w:eastAsia="Arial Unicode MS" w:cs="Arial"/>
          <w:szCs w:val="24"/>
        </w:rPr>
        <w:t>This ‘safety desk’ responsibility may not routinely be delegated to another member of the CI’s team except with the sponsor’s permission and in exceptional circumstances.</w:t>
      </w:r>
    </w:p>
    <w:p w14:paraId="6607AA7F" w14:textId="77777777" w:rsidR="00900CBC" w:rsidRDefault="00900CBC" w:rsidP="00900CBC">
      <w:pPr>
        <w:tabs>
          <w:tab w:val="left" w:pos="142"/>
        </w:tabs>
        <w:spacing w:after="240"/>
        <w:ind w:left="426"/>
        <w:rPr>
          <w:rFonts w:eastAsia="Arial Unicode MS" w:cs="Arial"/>
          <w:szCs w:val="24"/>
        </w:rPr>
      </w:pPr>
      <w:r w:rsidRPr="006A15B6">
        <w:rPr>
          <w:rFonts w:eastAsia="Arial Unicode MS" w:cs="Arial"/>
          <w:szCs w:val="24"/>
        </w:rPr>
        <w:t>The CI is also responsible for performing the sponsor’s assessment of trend analysis for non-serious events</w:t>
      </w:r>
      <w:r>
        <w:rPr>
          <w:rFonts w:eastAsia="Arial Unicode MS" w:cs="Arial"/>
          <w:szCs w:val="24"/>
        </w:rPr>
        <w:t xml:space="preserve"> and effects</w:t>
      </w:r>
      <w:r w:rsidRPr="006A15B6">
        <w:rPr>
          <w:rFonts w:eastAsia="Arial Unicode MS" w:cs="Arial"/>
          <w:szCs w:val="24"/>
        </w:rPr>
        <w:t>.</w:t>
      </w:r>
    </w:p>
    <w:p w14:paraId="4F24AF24" w14:textId="77777777" w:rsidR="0017711B" w:rsidRPr="006A15B6" w:rsidRDefault="0017711B" w:rsidP="00900CBC">
      <w:pPr>
        <w:tabs>
          <w:tab w:val="left" w:pos="142"/>
        </w:tabs>
        <w:spacing w:after="240"/>
        <w:ind w:left="426"/>
        <w:rPr>
          <w:rFonts w:eastAsia="Arial Unicode MS" w:cs="Arial"/>
          <w:szCs w:val="24"/>
        </w:rPr>
      </w:pPr>
      <w:r w:rsidRPr="006A15B6">
        <w:rPr>
          <w:rFonts w:eastAsia="Arial Unicode MS" w:cs="Arial"/>
          <w:szCs w:val="24"/>
        </w:rPr>
        <w:t xml:space="preserve">If a trial subject or their partner becomes pregnant during a clinical trial or after participation (if the foetus could still be exposed to </w:t>
      </w:r>
      <w:r>
        <w:rPr>
          <w:rFonts w:eastAsia="Arial Unicode MS" w:cs="Arial"/>
          <w:szCs w:val="24"/>
        </w:rPr>
        <w:t>the investigational device</w:t>
      </w:r>
      <w:r w:rsidRPr="006A15B6">
        <w:rPr>
          <w:rFonts w:eastAsia="Arial Unicode MS" w:cs="Arial"/>
          <w:szCs w:val="24"/>
        </w:rPr>
        <w:t>), the pregnancy must be reported</w:t>
      </w:r>
      <w:r>
        <w:rPr>
          <w:rFonts w:eastAsia="Arial Unicode MS" w:cs="Arial"/>
          <w:szCs w:val="24"/>
        </w:rPr>
        <w:t xml:space="preserve"> to sponsor</w:t>
      </w:r>
      <w:r w:rsidRPr="006A15B6">
        <w:rPr>
          <w:rFonts w:eastAsia="Arial Unicode MS" w:cs="Arial"/>
          <w:szCs w:val="24"/>
        </w:rPr>
        <w:t xml:space="preserve">, as should any adverse outcomes.  </w:t>
      </w:r>
    </w:p>
    <w:p w14:paraId="4D5FCC39" w14:textId="77777777" w:rsidR="00490802" w:rsidRPr="0017711B" w:rsidRDefault="00900CBC" w:rsidP="0017711B">
      <w:pPr>
        <w:spacing w:after="240"/>
        <w:ind w:left="426"/>
        <w:rPr>
          <w:rFonts w:eastAsia="Arial Unicode MS" w:cs="Arial"/>
          <w:szCs w:val="24"/>
        </w:rPr>
      </w:pPr>
      <w:r w:rsidRPr="006A15B6">
        <w:rPr>
          <w:rFonts w:eastAsia="Arial Unicode MS" w:cs="Arial"/>
          <w:szCs w:val="24"/>
        </w:rPr>
        <w:t xml:space="preserve">The Trust may delegate additional responsibilities of the sponsor to the CI, on a trial-by-trial basis.  Such responsibilities must be explicitly stated in a delegation of responsibilities agreement.  </w:t>
      </w:r>
      <w:r w:rsidR="000A22D4" w:rsidRPr="00F05888">
        <w:rPr>
          <w:rFonts w:eastAsia="Arial Unicode MS" w:cs="Arial"/>
          <w:szCs w:val="24"/>
        </w:rPr>
        <w:t xml:space="preserve">See </w:t>
      </w:r>
      <w:r w:rsidR="006847D1">
        <w:rPr>
          <w:rFonts w:eastAsia="Arial Unicode MS" w:cs="Arial"/>
          <w:szCs w:val="24"/>
        </w:rPr>
        <w:t xml:space="preserve">R&amp;I </w:t>
      </w:r>
      <w:r w:rsidR="000A22D4" w:rsidRPr="00F05888">
        <w:rPr>
          <w:rFonts w:eastAsia="Arial Unicode MS" w:cs="Arial"/>
          <w:szCs w:val="24"/>
        </w:rPr>
        <w:t>SOP</w:t>
      </w:r>
      <w:r w:rsidR="00F05888">
        <w:rPr>
          <w:rFonts w:eastAsia="Arial Unicode MS" w:cs="Arial"/>
          <w:szCs w:val="24"/>
        </w:rPr>
        <w:t>s on</w:t>
      </w:r>
      <w:r w:rsidR="000A22D4" w:rsidRPr="00F05888">
        <w:rPr>
          <w:rFonts w:eastAsia="Arial Unicode MS" w:cs="Arial"/>
          <w:szCs w:val="24"/>
        </w:rPr>
        <w:t xml:space="preserve"> ‘</w:t>
      </w:r>
      <w:r w:rsidR="00F05888" w:rsidRPr="00F05888">
        <w:rPr>
          <w:rFonts w:eastAsia="Arial Unicode MS" w:cs="Arial"/>
          <w:szCs w:val="24"/>
        </w:rPr>
        <w:t>Delegating Responsibilities for Clinical Trials of Investigational Medicinal Products and Clinical Investigations of Medical Devices Sponsored by the Trust</w:t>
      </w:r>
      <w:r w:rsidR="000A22D4" w:rsidRPr="00F05888">
        <w:rPr>
          <w:rFonts w:eastAsia="Arial Unicode MS" w:cs="Arial"/>
          <w:szCs w:val="24"/>
        </w:rPr>
        <w:t>’ and ‘Trust Sponsorship</w:t>
      </w:r>
      <w:r w:rsidR="00F05888" w:rsidRPr="00F05888">
        <w:rPr>
          <w:rFonts w:eastAsia="Arial Unicode MS" w:cs="Arial"/>
          <w:szCs w:val="24"/>
        </w:rPr>
        <w:t xml:space="preserve"> of Clinical Investigations of Medical Devices (MHRA Regulated)</w:t>
      </w:r>
      <w:r w:rsidR="000A22D4" w:rsidRPr="00F05888">
        <w:rPr>
          <w:rFonts w:eastAsia="Arial Unicode MS" w:cs="Arial"/>
          <w:szCs w:val="24"/>
        </w:rPr>
        <w:t>’</w:t>
      </w:r>
      <w:r w:rsidR="00F05888">
        <w:rPr>
          <w:rFonts w:eastAsia="Arial Unicode MS" w:cs="Arial"/>
          <w:szCs w:val="24"/>
        </w:rPr>
        <w:t>.</w:t>
      </w:r>
    </w:p>
    <w:p w14:paraId="6F2A7FDF" w14:textId="77777777" w:rsidR="00383257" w:rsidRPr="006A15B6" w:rsidRDefault="00383257" w:rsidP="00383257">
      <w:pPr>
        <w:tabs>
          <w:tab w:val="left" w:pos="142"/>
        </w:tabs>
        <w:spacing w:after="240"/>
        <w:ind w:left="426"/>
        <w:rPr>
          <w:rFonts w:cs="Arial"/>
          <w:szCs w:val="24"/>
          <w:lang w:eastAsia="en-GB"/>
        </w:rPr>
      </w:pPr>
      <w:r w:rsidRPr="006A15B6">
        <w:rPr>
          <w:rFonts w:cs="Arial"/>
          <w:szCs w:val="24"/>
          <w:lang w:eastAsia="en-GB"/>
        </w:rPr>
        <w:t>The Investigator is expected to maintain a log or spreadsheet of all adverse events</w:t>
      </w:r>
      <w:r w:rsidR="00A67678">
        <w:rPr>
          <w:rFonts w:cs="Arial"/>
          <w:szCs w:val="24"/>
          <w:lang w:eastAsia="en-GB"/>
        </w:rPr>
        <w:t xml:space="preserve"> and effects</w:t>
      </w:r>
      <w:r w:rsidRPr="006A15B6">
        <w:rPr>
          <w:rFonts w:cs="Arial"/>
          <w:szCs w:val="24"/>
          <w:lang w:eastAsia="en-GB"/>
        </w:rPr>
        <w:t xml:space="preserve"> (including </w:t>
      </w:r>
      <w:r w:rsidR="00A67678">
        <w:rPr>
          <w:rFonts w:cs="Arial"/>
          <w:szCs w:val="24"/>
          <w:lang w:eastAsia="en-GB"/>
        </w:rPr>
        <w:t xml:space="preserve">those reported as </w:t>
      </w:r>
      <w:r w:rsidR="00583039">
        <w:rPr>
          <w:rFonts w:cs="Arial"/>
          <w:szCs w:val="24"/>
          <w:lang w:eastAsia="en-GB"/>
        </w:rPr>
        <w:t>s</w:t>
      </w:r>
      <w:r w:rsidRPr="006A15B6">
        <w:rPr>
          <w:rFonts w:cs="Arial"/>
          <w:szCs w:val="24"/>
          <w:lang w:eastAsia="en-GB"/>
        </w:rPr>
        <w:t xml:space="preserve">erious), </w:t>
      </w:r>
      <w:r>
        <w:rPr>
          <w:rFonts w:cs="Arial"/>
          <w:szCs w:val="24"/>
          <w:lang w:eastAsia="en-GB"/>
        </w:rPr>
        <w:t>which may be reviewed</w:t>
      </w:r>
      <w:r w:rsidRPr="006A15B6">
        <w:rPr>
          <w:rFonts w:cs="Arial"/>
          <w:szCs w:val="24"/>
          <w:lang w:eastAsia="en-GB"/>
        </w:rPr>
        <w:t xml:space="preserve"> by oversight committees such as the </w:t>
      </w:r>
      <w:r>
        <w:rPr>
          <w:rFonts w:cs="Arial"/>
          <w:szCs w:val="24"/>
          <w:lang w:eastAsia="en-GB"/>
        </w:rPr>
        <w:t>Trial Steering Committee</w:t>
      </w:r>
      <w:r w:rsidR="00EE4C6B">
        <w:rPr>
          <w:rFonts w:cs="Arial"/>
          <w:szCs w:val="24"/>
          <w:lang w:eastAsia="en-GB"/>
        </w:rPr>
        <w:t xml:space="preserve"> (TSC)</w:t>
      </w:r>
      <w:r w:rsidRPr="006A15B6">
        <w:rPr>
          <w:rFonts w:cs="Arial"/>
          <w:szCs w:val="24"/>
          <w:lang w:eastAsia="en-GB"/>
        </w:rPr>
        <w:t xml:space="preserve">.  Any trends must be reported by the Investigator to </w:t>
      </w:r>
      <w:r>
        <w:rPr>
          <w:rFonts w:cs="Arial"/>
          <w:szCs w:val="24"/>
          <w:lang w:eastAsia="en-GB"/>
        </w:rPr>
        <w:t>oversight committees</w:t>
      </w:r>
      <w:r w:rsidRPr="006A15B6">
        <w:rPr>
          <w:rFonts w:cs="Arial"/>
          <w:szCs w:val="24"/>
          <w:lang w:eastAsia="en-GB"/>
        </w:rPr>
        <w:t xml:space="preserve"> in a timely manner.  </w:t>
      </w:r>
    </w:p>
    <w:p w14:paraId="4C786DB2" w14:textId="77777777" w:rsidR="00383257" w:rsidRPr="004D482F" w:rsidRDefault="004D482F" w:rsidP="004D482F">
      <w:pPr>
        <w:pStyle w:val="NoSpacing"/>
        <w:rPr>
          <w:b/>
        </w:rPr>
      </w:pPr>
      <w:r w:rsidRPr="004D482F">
        <w:rPr>
          <w:b/>
        </w:rPr>
        <w:t>4</w:t>
      </w:r>
      <w:r>
        <w:rPr>
          <w:b/>
        </w:rPr>
        <w:tab/>
      </w:r>
      <w:r w:rsidR="00CB301B" w:rsidRPr="004D482F">
        <w:rPr>
          <w:b/>
        </w:rPr>
        <w:t>Definitions and Classification of A</w:t>
      </w:r>
      <w:r w:rsidR="00383257" w:rsidRPr="004D482F">
        <w:rPr>
          <w:b/>
        </w:rPr>
        <w:t>dverse Events and Device Effects</w:t>
      </w:r>
    </w:p>
    <w:p w14:paraId="43151DDB" w14:textId="77777777" w:rsidR="004D482F" w:rsidRDefault="004D482F" w:rsidP="004D482F"/>
    <w:p w14:paraId="1C272C62" w14:textId="77777777" w:rsidR="004D482F" w:rsidRDefault="004D482F" w:rsidP="004D482F">
      <w:r>
        <w:t xml:space="preserve">Researchers should be aware </w:t>
      </w:r>
      <w:r w:rsidR="007555D9">
        <w:t>that</w:t>
      </w:r>
      <w:r>
        <w:t xml:space="preserve"> different definitions relate to adverse events in medical device trials</w:t>
      </w:r>
      <w:r w:rsidR="007555D9">
        <w:t xml:space="preserve"> from other research</w:t>
      </w:r>
      <w:r>
        <w:t>.</w:t>
      </w:r>
      <w:r w:rsidR="006847D1">
        <w:t xml:space="preserve"> These are set out in the guidance document MEDDEV 2.7/3 (May 2015).</w:t>
      </w:r>
    </w:p>
    <w:p w14:paraId="25DE6C91" w14:textId="77777777" w:rsidR="004D482F" w:rsidRPr="004D482F" w:rsidRDefault="004D482F" w:rsidP="004D482F">
      <w:pPr>
        <w:ind w:left="567" w:hanging="567"/>
      </w:pPr>
    </w:p>
    <w:p w14:paraId="60F7BCA8" w14:textId="77777777" w:rsidR="00383257" w:rsidRDefault="00383257" w:rsidP="00383257">
      <w:pPr>
        <w:ind w:left="426"/>
        <w:rPr>
          <w:b/>
        </w:rPr>
      </w:pPr>
      <w:r>
        <w:rPr>
          <w:b/>
        </w:rPr>
        <w:t>4.1</w:t>
      </w:r>
      <w:r>
        <w:rPr>
          <w:b/>
        </w:rPr>
        <w:tab/>
        <w:t>Adverse Event (AE)</w:t>
      </w:r>
    </w:p>
    <w:p w14:paraId="1B0D6BE6" w14:textId="77777777" w:rsidR="00CE2AB6" w:rsidRDefault="008A65B8" w:rsidP="00CE2AB6">
      <w:pPr>
        <w:pStyle w:val="ListParagraph"/>
        <w:autoSpaceDE w:val="0"/>
        <w:autoSpaceDN w:val="0"/>
        <w:adjustRightInd w:val="0"/>
        <w:spacing w:after="120"/>
        <w:ind w:left="426"/>
        <w:rPr>
          <w:rFonts w:ascii="Arial" w:eastAsia="Times New Roman" w:hAnsi="Arial" w:cs="Arial"/>
          <w:sz w:val="24"/>
          <w:szCs w:val="24"/>
        </w:rPr>
      </w:pPr>
      <w:r>
        <w:rPr>
          <w:rFonts w:ascii="Arial" w:eastAsia="Times New Roman" w:hAnsi="Arial" w:cs="Arial"/>
          <w:sz w:val="24"/>
          <w:szCs w:val="24"/>
        </w:rPr>
        <w:t>A</w:t>
      </w:r>
      <w:r w:rsidR="00CE2AB6">
        <w:rPr>
          <w:rFonts w:ascii="Arial" w:eastAsia="Times New Roman" w:hAnsi="Arial" w:cs="Arial"/>
          <w:sz w:val="24"/>
          <w:szCs w:val="24"/>
        </w:rPr>
        <w:t xml:space="preserve">n AE is defined as: </w:t>
      </w:r>
    </w:p>
    <w:p w14:paraId="6CF11B7C" w14:textId="77777777" w:rsidR="00383257" w:rsidRDefault="00CE2AB6" w:rsidP="00383257">
      <w:pPr>
        <w:ind w:left="426"/>
        <w:rPr>
          <w:rFonts w:eastAsia="Arial Unicode MS" w:cs="Arial"/>
          <w:iCs/>
          <w:szCs w:val="24"/>
        </w:rPr>
      </w:pPr>
      <w:r>
        <w:rPr>
          <w:rFonts w:eastAsia="Arial Unicode MS" w:cs="Arial"/>
          <w:iCs/>
          <w:szCs w:val="24"/>
        </w:rPr>
        <w:t>Any untoward medical occurrence, unintended disease or injury or any untoward clinical signs, including an abnormal laboratory finding, in subjects, users or other persons, in the context of a clinical investigation, whether or not related to the investigational device.</w:t>
      </w:r>
    </w:p>
    <w:p w14:paraId="78B86871" w14:textId="77777777" w:rsidR="002E6213" w:rsidRDefault="002E6213" w:rsidP="00383257">
      <w:pPr>
        <w:ind w:left="426"/>
        <w:rPr>
          <w:rFonts w:eastAsia="Arial Unicode MS" w:cs="Arial"/>
          <w:iCs/>
          <w:szCs w:val="24"/>
        </w:rPr>
      </w:pPr>
    </w:p>
    <w:p w14:paraId="558BB5C1" w14:textId="77777777" w:rsidR="002E6213" w:rsidRDefault="002E6213" w:rsidP="00383257">
      <w:pPr>
        <w:ind w:left="426"/>
        <w:rPr>
          <w:rFonts w:eastAsia="Arial Unicode MS" w:cs="Arial"/>
          <w:iCs/>
          <w:szCs w:val="24"/>
        </w:rPr>
      </w:pPr>
      <w:r>
        <w:rPr>
          <w:rFonts w:eastAsia="Arial Unicode MS" w:cs="Arial"/>
          <w:iCs/>
          <w:szCs w:val="24"/>
        </w:rPr>
        <w:lastRenderedPageBreak/>
        <w:t>This includes events related to the investiga</w:t>
      </w:r>
      <w:r w:rsidR="006847D1">
        <w:rPr>
          <w:rFonts w:eastAsia="Arial Unicode MS" w:cs="Arial"/>
          <w:iCs/>
          <w:szCs w:val="24"/>
        </w:rPr>
        <w:t>tional device or the comparator</w:t>
      </w:r>
      <w:r>
        <w:rPr>
          <w:rFonts w:eastAsia="Arial Unicode MS" w:cs="Arial"/>
          <w:iCs/>
          <w:szCs w:val="24"/>
        </w:rPr>
        <w:t xml:space="preserve"> </w:t>
      </w:r>
      <w:r w:rsidR="006847D1">
        <w:rPr>
          <w:rFonts w:eastAsia="Arial Unicode MS" w:cs="Arial"/>
          <w:iCs/>
          <w:szCs w:val="24"/>
        </w:rPr>
        <w:t xml:space="preserve">and </w:t>
      </w:r>
      <w:r>
        <w:rPr>
          <w:rFonts w:eastAsia="Arial Unicode MS" w:cs="Arial"/>
          <w:iCs/>
          <w:szCs w:val="24"/>
        </w:rPr>
        <w:t>events related to the procedures involved</w:t>
      </w:r>
      <w:r w:rsidR="006847D1">
        <w:rPr>
          <w:rFonts w:eastAsia="Arial Unicode MS" w:cs="Arial"/>
          <w:iCs/>
          <w:szCs w:val="24"/>
        </w:rPr>
        <w:t>. For users or other persons, the definition is restricted to events related to investigational medicinal devices.</w:t>
      </w:r>
    </w:p>
    <w:p w14:paraId="6BC88CF2" w14:textId="77777777" w:rsidR="00A67678" w:rsidRDefault="00A67678" w:rsidP="001B1E55">
      <w:pPr>
        <w:rPr>
          <w:b/>
        </w:rPr>
      </w:pPr>
    </w:p>
    <w:p w14:paraId="07D405F8" w14:textId="77777777" w:rsidR="00383257" w:rsidRDefault="00383257" w:rsidP="00383257">
      <w:pPr>
        <w:ind w:left="426"/>
        <w:rPr>
          <w:b/>
        </w:rPr>
      </w:pPr>
      <w:r>
        <w:rPr>
          <w:b/>
        </w:rPr>
        <w:t>4.2</w:t>
      </w:r>
      <w:r>
        <w:rPr>
          <w:b/>
        </w:rPr>
        <w:tab/>
        <w:t>Adverse Device Effect (ADE)</w:t>
      </w:r>
    </w:p>
    <w:p w14:paraId="6BF5BDDA" w14:textId="77777777" w:rsidR="006847D1" w:rsidRDefault="00A67678" w:rsidP="00A67678">
      <w:pPr>
        <w:pStyle w:val="ListParagraph"/>
        <w:autoSpaceDE w:val="0"/>
        <w:autoSpaceDN w:val="0"/>
        <w:adjustRightInd w:val="0"/>
        <w:spacing w:after="240"/>
        <w:ind w:left="426"/>
        <w:rPr>
          <w:rFonts w:ascii="Arial" w:eastAsia="Times New Roman" w:hAnsi="Arial" w:cs="Arial"/>
          <w:color w:val="000000"/>
          <w:sz w:val="24"/>
          <w:szCs w:val="24"/>
          <w:lang w:eastAsia="en-US"/>
        </w:rPr>
      </w:pPr>
      <w:r w:rsidRPr="00A67678">
        <w:rPr>
          <w:rFonts w:ascii="Arial" w:eastAsia="Times New Roman" w:hAnsi="Arial" w:cs="Arial"/>
          <w:color w:val="000000"/>
          <w:sz w:val="24"/>
          <w:szCs w:val="24"/>
          <w:lang w:eastAsia="en-US"/>
        </w:rPr>
        <w:t xml:space="preserve">Any untoward and unintended </w:t>
      </w:r>
      <w:r w:rsidR="00526494">
        <w:rPr>
          <w:rFonts w:ascii="Arial" w:eastAsia="Times New Roman" w:hAnsi="Arial" w:cs="Arial"/>
          <w:color w:val="000000"/>
          <w:sz w:val="24"/>
          <w:szCs w:val="24"/>
          <w:lang w:eastAsia="en-US"/>
        </w:rPr>
        <w:t>effect</w:t>
      </w:r>
      <w:r w:rsidRPr="00A67678">
        <w:rPr>
          <w:rFonts w:ascii="Arial" w:eastAsia="Times New Roman" w:hAnsi="Arial" w:cs="Arial"/>
          <w:color w:val="000000"/>
          <w:sz w:val="24"/>
          <w:szCs w:val="24"/>
          <w:lang w:eastAsia="en-US"/>
        </w:rPr>
        <w:t xml:space="preserve"> in a subject </w:t>
      </w:r>
      <w:r w:rsidR="0000702A">
        <w:rPr>
          <w:rFonts w:ascii="Arial" w:eastAsia="Times New Roman" w:hAnsi="Arial" w:cs="Arial"/>
          <w:color w:val="000000"/>
          <w:sz w:val="24"/>
          <w:szCs w:val="24"/>
          <w:lang w:eastAsia="en-US"/>
        </w:rPr>
        <w:t>related to the use of an investigational medical device.</w:t>
      </w:r>
      <w:r w:rsidRPr="00A67678">
        <w:rPr>
          <w:rFonts w:ascii="Arial" w:eastAsia="Times New Roman" w:hAnsi="Arial" w:cs="Arial"/>
          <w:color w:val="000000"/>
          <w:sz w:val="24"/>
          <w:szCs w:val="24"/>
          <w:lang w:eastAsia="en-US"/>
        </w:rPr>
        <w:t xml:space="preserve">  All adverse events judged by either the reporting investigator or the CI (on behalf of the sponsor) as having a reasonable causal relationship (e.g. definitely, pro</w:t>
      </w:r>
      <w:r w:rsidR="0081204E">
        <w:rPr>
          <w:rFonts w:ascii="Arial" w:eastAsia="Times New Roman" w:hAnsi="Arial" w:cs="Arial"/>
          <w:color w:val="000000"/>
          <w:sz w:val="24"/>
          <w:szCs w:val="24"/>
          <w:lang w:eastAsia="en-US"/>
        </w:rPr>
        <w:t xml:space="preserve">bably or possibly related) to an investigational device </w:t>
      </w:r>
      <w:r w:rsidRPr="00A67678">
        <w:rPr>
          <w:rFonts w:ascii="Arial" w:eastAsia="Times New Roman" w:hAnsi="Arial" w:cs="Arial"/>
          <w:color w:val="000000"/>
          <w:sz w:val="24"/>
          <w:szCs w:val="24"/>
          <w:lang w:eastAsia="en-US"/>
        </w:rPr>
        <w:t xml:space="preserve">qualify as </w:t>
      </w:r>
      <w:r w:rsidR="0081204E">
        <w:rPr>
          <w:rFonts w:ascii="Arial" w:eastAsia="Times New Roman" w:hAnsi="Arial" w:cs="Arial"/>
          <w:color w:val="000000"/>
          <w:sz w:val="24"/>
          <w:szCs w:val="24"/>
          <w:lang w:eastAsia="en-US"/>
        </w:rPr>
        <w:t>Adverse Device Effects (ADEs)</w:t>
      </w:r>
      <w:r w:rsidRPr="00A67678">
        <w:rPr>
          <w:rFonts w:ascii="Arial" w:eastAsia="Times New Roman" w:hAnsi="Arial" w:cs="Arial"/>
          <w:color w:val="000000"/>
          <w:sz w:val="24"/>
          <w:szCs w:val="24"/>
          <w:lang w:eastAsia="en-US"/>
        </w:rPr>
        <w:t xml:space="preserve">. </w:t>
      </w:r>
    </w:p>
    <w:p w14:paraId="4D814E54" w14:textId="77777777" w:rsidR="00A67678" w:rsidRPr="00A67678" w:rsidRDefault="000A22D4" w:rsidP="00A67678">
      <w:pPr>
        <w:pStyle w:val="ListParagraph"/>
        <w:autoSpaceDE w:val="0"/>
        <w:autoSpaceDN w:val="0"/>
        <w:adjustRightInd w:val="0"/>
        <w:spacing w:after="240"/>
        <w:ind w:left="426"/>
        <w:rPr>
          <w:rFonts w:ascii="Arial" w:eastAsia="Times New Roman" w:hAnsi="Arial" w:cs="Arial"/>
          <w:color w:val="000000"/>
          <w:sz w:val="24"/>
          <w:szCs w:val="24"/>
          <w:lang w:eastAsia="en-US"/>
        </w:rPr>
      </w:pPr>
      <w:r>
        <w:rPr>
          <w:rFonts w:ascii="Arial" w:eastAsia="Times New Roman" w:hAnsi="Arial" w:cs="Arial"/>
          <w:color w:val="000000"/>
          <w:sz w:val="24"/>
          <w:szCs w:val="24"/>
          <w:lang w:eastAsia="en-US"/>
        </w:rPr>
        <w:t>This includes any AE</w:t>
      </w:r>
      <w:r w:rsidR="002E6213">
        <w:rPr>
          <w:rFonts w:ascii="Arial" w:eastAsia="Times New Roman" w:hAnsi="Arial" w:cs="Arial"/>
          <w:color w:val="000000"/>
          <w:sz w:val="24"/>
          <w:szCs w:val="24"/>
          <w:lang w:eastAsia="en-US"/>
        </w:rPr>
        <w:t xml:space="preserve"> resulting from insufficiencies or inadequacies in the instructions for use, the deployment, the implantation, the installation, the operation, or any malfunction of the investigational medical device, or</w:t>
      </w:r>
      <w:r>
        <w:rPr>
          <w:rFonts w:ascii="Arial" w:eastAsia="Times New Roman" w:hAnsi="Arial" w:cs="Arial"/>
          <w:color w:val="000000"/>
          <w:sz w:val="24"/>
          <w:szCs w:val="24"/>
          <w:lang w:eastAsia="en-US"/>
        </w:rPr>
        <w:t xml:space="preserve"> that is the result of erroneous or intentional misuse of the medical device</w:t>
      </w:r>
      <w:r w:rsidR="002E6213">
        <w:rPr>
          <w:rFonts w:ascii="Arial" w:eastAsia="Times New Roman" w:hAnsi="Arial" w:cs="Arial"/>
          <w:color w:val="000000"/>
          <w:sz w:val="24"/>
          <w:szCs w:val="24"/>
          <w:lang w:eastAsia="en-US"/>
        </w:rPr>
        <w:t>. (MEDDEV 2.7/3 p. 5)</w:t>
      </w:r>
    </w:p>
    <w:p w14:paraId="74A6C959" w14:textId="77777777" w:rsidR="00383257" w:rsidRDefault="00383257" w:rsidP="00383257">
      <w:pPr>
        <w:ind w:left="426"/>
        <w:rPr>
          <w:b/>
        </w:rPr>
      </w:pPr>
      <w:r>
        <w:rPr>
          <w:b/>
        </w:rPr>
        <w:t>4.3</w:t>
      </w:r>
      <w:r>
        <w:rPr>
          <w:b/>
        </w:rPr>
        <w:tab/>
        <w:t>Un</w:t>
      </w:r>
      <w:r w:rsidR="00E46BF3">
        <w:rPr>
          <w:b/>
        </w:rPr>
        <w:t>anticipated</w:t>
      </w:r>
      <w:r>
        <w:rPr>
          <w:b/>
        </w:rPr>
        <w:t xml:space="preserve"> Adverse Device Effect (UADE)</w:t>
      </w:r>
    </w:p>
    <w:p w14:paraId="3D875D8F" w14:textId="77777777" w:rsidR="00383257" w:rsidRDefault="0081204E" w:rsidP="00383257">
      <w:pPr>
        <w:ind w:left="426"/>
        <w:rPr>
          <w:rFonts w:cs="Arial"/>
          <w:szCs w:val="24"/>
          <w:lang w:eastAsia="en-GB"/>
        </w:rPr>
      </w:pPr>
      <w:r w:rsidRPr="006A15B6">
        <w:rPr>
          <w:rFonts w:cs="Arial"/>
          <w:szCs w:val="24"/>
          <w:lang w:eastAsia="en-GB"/>
        </w:rPr>
        <w:t xml:space="preserve">An adverse </w:t>
      </w:r>
      <w:r>
        <w:rPr>
          <w:rFonts w:cs="Arial"/>
          <w:szCs w:val="24"/>
          <w:lang w:eastAsia="en-GB"/>
        </w:rPr>
        <w:t>device effect</w:t>
      </w:r>
      <w:r w:rsidRPr="006A15B6">
        <w:rPr>
          <w:rFonts w:cs="Arial"/>
          <w:szCs w:val="24"/>
          <w:lang w:eastAsia="en-GB"/>
        </w:rPr>
        <w:t>, the nature or severity of which is not consistent with t</w:t>
      </w:r>
      <w:r>
        <w:rPr>
          <w:rFonts w:cs="Arial"/>
          <w:szCs w:val="24"/>
          <w:lang w:eastAsia="en-GB"/>
        </w:rPr>
        <w:t xml:space="preserve">he </w:t>
      </w:r>
      <w:r w:rsidR="000A22D4">
        <w:rPr>
          <w:rFonts w:cs="Arial"/>
          <w:szCs w:val="24"/>
          <w:lang w:eastAsia="en-GB"/>
        </w:rPr>
        <w:t>protocol, IB or risk assessment (i.e. is previously undocumented)</w:t>
      </w:r>
      <w:r>
        <w:rPr>
          <w:rFonts w:cs="Arial"/>
          <w:szCs w:val="24"/>
          <w:lang w:eastAsia="en-GB"/>
        </w:rPr>
        <w:t>, but which does not meet the criteria for ‘Serious’</w:t>
      </w:r>
      <w:r w:rsidR="00123C5C">
        <w:rPr>
          <w:rFonts w:cs="Arial"/>
          <w:szCs w:val="24"/>
          <w:lang w:eastAsia="en-GB"/>
        </w:rPr>
        <w:t xml:space="preserve"> given in 4.4</w:t>
      </w:r>
      <w:r>
        <w:rPr>
          <w:rFonts w:cs="Arial"/>
          <w:szCs w:val="24"/>
          <w:lang w:eastAsia="en-GB"/>
        </w:rPr>
        <w:t>.</w:t>
      </w:r>
    </w:p>
    <w:p w14:paraId="0D1D051A" w14:textId="77777777" w:rsidR="0081204E" w:rsidRDefault="0081204E" w:rsidP="00383257">
      <w:pPr>
        <w:ind w:left="426"/>
        <w:rPr>
          <w:b/>
        </w:rPr>
      </w:pPr>
    </w:p>
    <w:p w14:paraId="2D597B3B" w14:textId="77777777" w:rsidR="00383257" w:rsidRDefault="00383257" w:rsidP="007555D9">
      <w:pPr>
        <w:ind w:left="1418" w:hanging="992"/>
        <w:rPr>
          <w:b/>
        </w:rPr>
      </w:pPr>
      <w:r>
        <w:rPr>
          <w:b/>
        </w:rPr>
        <w:t>4.4</w:t>
      </w:r>
      <w:r>
        <w:rPr>
          <w:b/>
        </w:rPr>
        <w:tab/>
        <w:t>Serious Adverse Event (SAE)</w:t>
      </w:r>
      <w:r w:rsidR="0081204E">
        <w:rPr>
          <w:b/>
        </w:rPr>
        <w:t xml:space="preserve"> and Serious Adverse Device Effect (SADE)</w:t>
      </w:r>
    </w:p>
    <w:p w14:paraId="5CD95688" w14:textId="77777777" w:rsidR="002E6213" w:rsidRDefault="00B749D2" w:rsidP="0081204E">
      <w:pPr>
        <w:pStyle w:val="ListParagraph"/>
        <w:autoSpaceDE w:val="0"/>
        <w:autoSpaceDN w:val="0"/>
        <w:adjustRightInd w:val="0"/>
        <w:spacing w:after="120"/>
        <w:ind w:left="426"/>
        <w:rPr>
          <w:rFonts w:ascii="Arial" w:eastAsia="Times New Roman" w:hAnsi="Arial" w:cs="Arial"/>
          <w:sz w:val="24"/>
          <w:szCs w:val="24"/>
        </w:rPr>
      </w:pPr>
      <w:r>
        <w:rPr>
          <w:rFonts w:ascii="Arial" w:eastAsia="Times New Roman" w:hAnsi="Arial" w:cs="Arial"/>
          <w:sz w:val="24"/>
          <w:szCs w:val="24"/>
        </w:rPr>
        <w:t xml:space="preserve">The </w:t>
      </w:r>
      <w:r w:rsidR="008A65B8">
        <w:rPr>
          <w:rFonts w:ascii="Arial" w:eastAsia="Times New Roman" w:hAnsi="Arial" w:cs="Arial"/>
          <w:sz w:val="24"/>
          <w:szCs w:val="24"/>
        </w:rPr>
        <w:t xml:space="preserve">MDR 2002 </w:t>
      </w:r>
      <w:r w:rsidR="00DB52A4">
        <w:rPr>
          <w:rFonts w:ascii="Arial" w:eastAsia="Times New Roman" w:hAnsi="Arial" w:cs="Arial"/>
          <w:sz w:val="24"/>
          <w:szCs w:val="24"/>
        </w:rPr>
        <w:t>do</w:t>
      </w:r>
      <w:r w:rsidR="008A65B8">
        <w:rPr>
          <w:rFonts w:ascii="Arial" w:eastAsia="Times New Roman" w:hAnsi="Arial" w:cs="Arial"/>
          <w:sz w:val="24"/>
          <w:szCs w:val="24"/>
        </w:rPr>
        <w:t xml:space="preserve"> not define SAEs or SADEs</w:t>
      </w:r>
      <w:r w:rsidR="002E6213">
        <w:rPr>
          <w:rFonts w:ascii="Arial" w:eastAsia="Times New Roman" w:hAnsi="Arial" w:cs="Arial"/>
          <w:sz w:val="24"/>
          <w:szCs w:val="24"/>
        </w:rPr>
        <w:t>, but require that serious adverse events are recorded and reported in line with Annex X of 93/42/EEC: ‘All serious adverse events must be fully recorded and immediately notified to all competent authorities of the Member states in which the clinical investigation is being performed’</w:t>
      </w:r>
      <w:r w:rsidR="008A65B8">
        <w:rPr>
          <w:rFonts w:ascii="Arial" w:eastAsia="Times New Roman" w:hAnsi="Arial" w:cs="Arial"/>
          <w:sz w:val="24"/>
          <w:szCs w:val="24"/>
        </w:rPr>
        <w:t xml:space="preserve">. </w:t>
      </w:r>
    </w:p>
    <w:p w14:paraId="18D97FEB" w14:textId="77777777" w:rsidR="00CE2AB6" w:rsidRDefault="002B4910" w:rsidP="0081204E">
      <w:pPr>
        <w:pStyle w:val="ListParagraph"/>
        <w:autoSpaceDE w:val="0"/>
        <w:autoSpaceDN w:val="0"/>
        <w:adjustRightInd w:val="0"/>
        <w:spacing w:after="120"/>
        <w:ind w:left="426"/>
        <w:rPr>
          <w:rFonts w:ascii="Arial" w:eastAsia="Times New Roman" w:hAnsi="Arial" w:cs="Arial"/>
          <w:sz w:val="24"/>
          <w:szCs w:val="24"/>
        </w:rPr>
      </w:pPr>
      <w:r>
        <w:rPr>
          <w:rFonts w:ascii="Arial" w:eastAsia="Times New Roman" w:hAnsi="Arial" w:cs="Arial"/>
          <w:sz w:val="24"/>
          <w:szCs w:val="24"/>
        </w:rPr>
        <w:t>MEDDEV 2.7/3 define</w:t>
      </w:r>
      <w:r w:rsidR="00DB52A4">
        <w:rPr>
          <w:rFonts w:ascii="Arial" w:eastAsia="Times New Roman" w:hAnsi="Arial" w:cs="Arial"/>
          <w:sz w:val="24"/>
          <w:szCs w:val="24"/>
        </w:rPr>
        <w:t>s</w:t>
      </w:r>
      <w:r w:rsidR="00CE2AB6">
        <w:rPr>
          <w:rFonts w:ascii="Arial" w:eastAsia="Times New Roman" w:hAnsi="Arial" w:cs="Arial"/>
          <w:sz w:val="24"/>
          <w:szCs w:val="24"/>
        </w:rPr>
        <w:t xml:space="preserve"> a</w:t>
      </w:r>
      <w:r w:rsidR="00526494">
        <w:rPr>
          <w:rFonts w:ascii="Arial" w:eastAsia="Times New Roman" w:hAnsi="Arial" w:cs="Arial"/>
          <w:sz w:val="24"/>
          <w:szCs w:val="24"/>
        </w:rPr>
        <w:t xml:space="preserve">n SAE </w:t>
      </w:r>
      <w:r w:rsidR="00CE2AB6">
        <w:rPr>
          <w:rFonts w:ascii="Arial" w:eastAsia="Times New Roman" w:hAnsi="Arial" w:cs="Arial"/>
          <w:sz w:val="24"/>
          <w:szCs w:val="24"/>
        </w:rPr>
        <w:t>as</w:t>
      </w:r>
      <w:r w:rsidR="00DB52A4">
        <w:rPr>
          <w:rFonts w:ascii="Arial" w:eastAsia="Times New Roman" w:hAnsi="Arial" w:cs="Arial"/>
          <w:sz w:val="24"/>
          <w:szCs w:val="24"/>
        </w:rPr>
        <w:t xml:space="preserve"> an</w:t>
      </w:r>
      <w:r w:rsidR="00CE2AB6">
        <w:rPr>
          <w:rFonts w:ascii="Arial" w:eastAsia="Times New Roman" w:hAnsi="Arial" w:cs="Arial"/>
          <w:sz w:val="24"/>
          <w:szCs w:val="24"/>
        </w:rPr>
        <w:t xml:space="preserve">: </w:t>
      </w:r>
    </w:p>
    <w:p w14:paraId="6B0D0C0C" w14:textId="77777777" w:rsidR="00DB52A4" w:rsidRDefault="00DB52A4" w:rsidP="0081204E">
      <w:pPr>
        <w:tabs>
          <w:tab w:val="left" w:pos="1418"/>
        </w:tabs>
        <w:spacing w:after="240"/>
        <w:ind w:left="426"/>
        <w:rPr>
          <w:rFonts w:cs="Arial"/>
          <w:szCs w:val="24"/>
          <w:lang w:eastAsia="en-GB"/>
        </w:rPr>
      </w:pPr>
      <w:r>
        <w:rPr>
          <w:rFonts w:cs="Arial"/>
          <w:szCs w:val="24"/>
        </w:rPr>
        <w:t>‘</w:t>
      </w:r>
      <w:r>
        <w:rPr>
          <w:rFonts w:cs="Arial"/>
          <w:szCs w:val="24"/>
          <w:lang w:eastAsia="en-GB"/>
        </w:rPr>
        <w:t>Adverse event that:</w:t>
      </w:r>
    </w:p>
    <w:p w14:paraId="6E94129B" w14:textId="77777777" w:rsidR="00DB52A4" w:rsidRDefault="00DB52A4" w:rsidP="003657A0">
      <w:pPr>
        <w:pStyle w:val="ListParagraph"/>
        <w:numPr>
          <w:ilvl w:val="0"/>
          <w:numId w:val="25"/>
        </w:numPr>
        <w:tabs>
          <w:tab w:val="left" w:pos="1418"/>
        </w:tabs>
        <w:spacing w:after="240"/>
        <w:rPr>
          <w:rFonts w:cs="Arial"/>
          <w:szCs w:val="24"/>
        </w:rPr>
      </w:pPr>
      <w:r w:rsidRPr="003657A0">
        <w:rPr>
          <w:rFonts w:ascii="Arial" w:hAnsi="Arial" w:cs="Arial"/>
          <w:sz w:val="24"/>
          <w:szCs w:val="24"/>
        </w:rPr>
        <w:t>Led to death, injury or permanent impairment to a body structure or a body function</w:t>
      </w:r>
      <w:r>
        <w:rPr>
          <w:rFonts w:ascii="Arial" w:hAnsi="Arial" w:cs="Arial"/>
          <w:sz w:val="24"/>
          <w:szCs w:val="24"/>
        </w:rPr>
        <w:t>.</w:t>
      </w:r>
    </w:p>
    <w:p w14:paraId="419AB407" w14:textId="77777777" w:rsidR="00DB52A4" w:rsidRDefault="00DB52A4" w:rsidP="003657A0">
      <w:pPr>
        <w:pStyle w:val="ListParagraph"/>
        <w:numPr>
          <w:ilvl w:val="0"/>
          <w:numId w:val="25"/>
        </w:numPr>
        <w:tabs>
          <w:tab w:val="left" w:pos="1418"/>
        </w:tabs>
        <w:spacing w:after="240"/>
        <w:rPr>
          <w:rFonts w:cs="Arial"/>
          <w:szCs w:val="24"/>
        </w:rPr>
      </w:pPr>
      <w:r>
        <w:rPr>
          <w:rFonts w:ascii="Arial" w:hAnsi="Arial" w:cs="Arial"/>
          <w:sz w:val="24"/>
          <w:szCs w:val="24"/>
        </w:rPr>
        <w:t>Led to a serious deterioration in health of the subject, that either resulted in:</w:t>
      </w:r>
    </w:p>
    <w:p w14:paraId="66F943C9" w14:textId="77777777" w:rsidR="00DB52A4" w:rsidRDefault="00DB52A4" w:rsidP="003657A0">
      <w:pPr>
        <w:pStyle w:val="ListParagraph"/>
        <w:numPr>
          <w:ilvl w:val="0"/>
          <w:numId w:val="26"/>
        </w:numPr>
        <w:tabs>
          <w:tab w:val="left" w:pos="1418"/>
        </w:tabs>
        <w:spacing w:after="240"/>
        <w:rPr>
          <w:rFonts w:cs="Arial"/>
          <w:szCs w:val="24"/>
        </w:rPr>
      </w:pPr>
      <w:r>
        <w:rPr>
          <w:rFonts w:ascii="Arial" w:hAnsi="Arial" w:cs="Arial"/>
          <w:sz w:val="24"/>
          <w:szCs w:val="24"/>
        </w:rPr>
        <w:t>A life threatening illness or injury, or</w:t>
      </w:r>
    </w:p>
    <w:p w14:paraId="03AA6EA8" w14:textId="77777777" w:rsidR="00DB52A4" w:rsidRDefault="00DB52A4" w:rsidP="003657A0">
      <w:pPr>
        <w:pStyle w:val="ListParagraph"/>
        <w:numPr>
          <w:ilvl w:val="0"/>
          <w:numId w:val="26"/>
        </w:numPr>
        <w:tabs>
          <w:tab w:val="left" w:pos="1418"/>
        </w:tabs>
        <w:spacing w:after="240"/>
        <w:rPr>
          <w:rFonts w:cs="Arial"/>
          <w:szCs w:val="24"/>
        </w:rPr>
      </w:pPr>
      <w:r>
        <w:rPr>
          <w:rFonts w:ascii="Arial" w:hAnsi="Arial" w:cs="Arial"/>
          <w:sz w:val="24"/>
          <w:szCs w:val="24"/>
        </w:rPr>
        <w:t>A permanent impairment of a body structure or a body function, or</w:t>
      </w:r>
    </w:p>
    <w:p w14:paraId="3C63E771" w14:textId="77777777" w:rsidR="00DB52A4" w:rsidRDefault="00DB52A4" w:rsidP="003657A0">
      <w:pPr>
        <w:pStyle w:val="ListParagraph"/>
        <w:numPr>
          <w:ilvl w:val="0"/>
          <w:numId w:val="26"/>
        </w:numPr>
        <w:tabs>
          <w:tab w:val="left" w:pos="1418"/>
        </w:tabs>
        <w:spacing w:after="240"/>
        <w:rPr>
          <w:rFonts w:cs="Arial"/>
          <w:szCs w:val="24"/>
        </w:rPr>
      </w:pPr>
      <w:r>
        <w:rPr>
          <w:rFonts w:ascii="Arial" w:hAnsi="Arial" w:cs="Arial"/>
          <w:sz w:val="24"/>
          <w:szCs w:val="24"/>
        </w:rPr>
        <w:t>In-patient hospitalisation or prolongation of existing hospitalisation, or</w:t>
      </w:r>
    </w:p>
    <w:p w14:paraId="5FB2ADAB" w14:textId="77777777" w:rsidR="00DB52A4" w:rsidRDefault="00DB52A4" w:rsidP="003657A0">
      <w:pPr>
        <w:pStyle w:val="ListParagraph"/>
        <w:numPr>
          <w:ilvl w:val="0"/>
          <w:numId w:val="26"/>
        </w:numPr>
        <w:tabs>
          <w:tab w:val="left" w:pos="1418"/>
        </w:tabs>
        <w:spacing w:after="240"/>
        <w:rPr>
          <w:rFonts w:cs="Arial"/>
          <w:szCs w:val="24"/>
        </w:rPr>
      </w:pPr>
      <w:r>
        <w:rPr>
          <w:rFonts w:ascii="Arial" w:hAnsi="Arial" w:cs="Arial"/>
          <w:sz w:val="24"/>
          <w:szCs w:val="24"/>
        </w:rPr>
        <w:t>In medical or surgical intervention to prevent life threatening illness</w:t>
      </w:r>
    </w:p>
    <w:p w14:paraId="64BD6E3B" w14:textId="77777777" w:rsidR="00DB52A4" w:rsidRPr="005D7F52" w:rsidRDefault="00DB52A4" w:rsidP="003657A0">
      <w:pPr>
        <w:pStyle w:val="ListParagraph"/>
        <w:numPr>
          <w:ilvl w:val="0"/>
          <w:numId w:val="25"/>
        </w:numPr>
        <w:tabs>
          <w:tab w:val="left" w:pos="1418"/>
        </w:tabs>
        <w:spacing w:after="240"/>
        <w:rPr>
          <w:rFonts w:cs="Arial"/>
          <w:szCs w:val="24"/>
        </w:rPr>
      </w:pPr>
      <w:r w:rsidRPr="003657A0">
        <w:rPr>
          <w:rFonts w:ascii="Arial" w:hAnsi="Arial" w:cs="Arial"/>
          <w:sz w:val="24"/>
          <w:szCs w:val="24"/>
        </w:rPr>
        <w:t>Led to foetal distress, foetal death or a congenital abnormality or birth defect</w:t>
      </w:r>
    </w:p>
    <w:p w14:paraId="523AC9F7" w14:textId="77777777" w:rsidR="0050725D" w:rsidRPr="005D7F52" w:rsidRDefault="00DB52A4">
      <w:pPr>
        <w:tabs>
          <w:tab w:val="left" w:pos="1418"/>
        </w:tabs>
        <w:spacing w:after="240"/>
        <w:ind w:left="426"/>
        <w:rPr>
          <w:rFonts w:cs="Arial"/>
          <w:szCs w:val="24"/>
        </w:rPr>
      </w:pPr>
      <w:r>
        <w:rPr>
          <w:rFonts w:cs="Arial"/>
          <w:szCs w:val="24"/>
        </w:rPr>
        <w:t>NOTE 1: Planned hospitalisation for pre-existing condition, or a procedure required by the Clinical Investigation Plan, without a serious deterioration in health, is not considered a serious adverse event.’ (MEDDEV 2.7/3 p. 4)</w:t>
      </w:r>
    </w:p>
    <w:p w14:paraId="3462DE3A" w14:textId="77777777" w:rsidR="0081204E" w:rsidRPr="006A15B6" w:rsidRDefault="0081204E" w:rsidP="0081204E">
      <w:pPr>
        <w:tabs>
          <w:tab w:val="left" w:pos="1418"/>
        </w:tabs>
        <w:spacing w:after="240"/>
        <w:ind w:left="426"/>
        <w:rPr>
          <w:rFonts w:cs="Arial"/>
          <w:szCs w:val="24"/>
          <w:lang w:eastAsia="en-GB"/>
        </w:rPr>
      </w:pPr>
      <w:r w:rsidRPr="006A15B6">
        <w:rPr>
          <w:rFonts w:cs="Arial"/>
          <w:szCs w:val="24"/>
          <w:lang w:eastAsia="en-GB"/>
        </w:rPr>
        <w:lastRenderedPageBreak/>
        <w:t xml:space="preserve">A </w:t>
      </w:r>
      <w:r w:rsidR="00526494">
        <w:rPr>
          <w:rFonts w:cs="Arial"/>
          <w:szCs w:val="24"/>
          <w:lang w:eastAsia="en-GB"/>
        </w:rPr>
        <w:t>SADE</w:t>
      </w:r>
      <w:r w:rsidRPr="006A15B6">
        <w:rPr>
          <w:rFonts w:cs="Arial"/>
          <w:szCs w:val="24"/>
          <w:lang w:eastAsia="en-GB"/>
        </w:rPr>
        <w:t xml:space="preserve"> is an </w:t>
      </w:r>
      <w:r w:rsidR="00526494">
        <w:rPr>
          <w:rFonts w:cs="Arial"/>
          <w:szCs w:val="24"/>
          <w:lang w:eastAsia="en-GB"/>
        </w:rPr>
        <w:t xml:space="preserve">SAE </w:t>
      </w:r>
      <w:r w:rsidRPr="006A15B6">
        <w:rPr>
          <w:rFonts w:cs="Arial"/>
          <w:szCs w:val="24"/>
          <w:lang w:eastAsia="en-GB"/>
        </w:rPr>
        <w:t xml:space="preserve">which is considered to be </w:t>
      </w:r>
      <w:r w:rsidRPr="006A15B6">
        <w:rPr>
          <w:rFonts w:cs="Arial"/>
          <w:i/>
          <w:szCs w:val="24"/>
          <w:lang w:eastAsia="en-GB"/>
        </w:rPr>
        <w:t>related</w:t>
      </w:r>
      <w:r w:rsidRPr="006A15B6">
        <w:rPr>
          <w:rFonts w:cs="Arial"/>
          <w:szCs w:val="24"/>
          <w:lang w:eastAsia="en-GB"/>
        </w:rPr>
        <w:t xml:space="preserve"> to the </w:t>
      </w:r>
      <w:r w:rsidR="00526494">
        <w:rPr>
          <w:rFonts w:cs="Arial"/>
          <w:szCs w:val="24"/>
          <w:lang w:eastAsia="en-GB"/>
        </w:rPr>
        <w:t>investigational device</w:t>
      </w:r>
      <w:r w:rsidRPr="006A15B6">
        <w:rPr>
          <w:rFonts w:cs="Arial"/>
          <w:szCs w:val="24"/>
          <w:lang w:eastAsia="en-GB"/>
        </w:rPr>
        <w:t>.</w:t>
      </w:r>
    </w:p>
    <w:p w14:paraId="4FF41436" w14:textId="77777777" w:rsidR="00383257" w:rsidRPr="0081204E" w:rsidRDefault="0081204E" w:rsidP="0081204E">
      <w:pPr>
        <w:tabs>
          <w:tab w:val="left" w:pos="1418"/>
        </w:tabs>
        <w:spacing w:after="240"/>
        <w:ind w:left="426"/>
        <w:rPr>
          <w:rFonts w:cs="Arial"/>
          <w:szCs w:val="24"/>
          <w:lang w:eastAsia="en-GB"/>
        </w:rPr>
      </w:pPr>
      <w:r w:rsidRPr="006A15B6">
        <w:rPr>
          <w:rFonts w:cs="Arial"/>
          <w:szCs w:val="24"/>
          <w:lang w:eastAsia="en-GB"/>
        </w:rPr>
        <w:t>Medical judgement should be exercised in deciding whether an adverse event/</w:t>
      </w:r>
      <w:r w:rsidR="00526494">
        <w:rPr>
          <w:rFonts w:cs="Arial"/>
          <w:szCs w:val="24"/>
          <w:lang w:eastAsia="en-GB"/>
        </w:rPr>
        <w:t>device effect</w:t>
      </w:r>
      <w:r w:rsidRPr="006A15B6">
        <w:rPr>
          <w:rFonts w:cs="Arial"/>
          <w:szCs w:val="24"/>
          <w:lang w:eastAsia="en-GB"/>
        </w:rPr>
        <w:t xml:space="preserve"> is serious in other situations. </w:t>
      </w:r>
      <w:r w:rsidR="00526494">
        <w:rPr>
          <w:rFonts w:cs="Arial"/>
          <w:szCs w:val="24"/>
          <w:lang w:eastAsia="en-GB"/>
        </w:rPr>
        <w:t xml:space="preserve"> Important adverse events/device effects</w:t>
      </w:r>
      <w:r w:rsidRPr="006A15B6">
        <w:rPr>
          <w:rFonts w:cs="Arial"/>
          <w:szCs w:val="24"/>
          <w:lang w:eastAsia="en-GB"/>
        </w:rPr>
        <w:t xml:space="preserve"> that are not immediately life-threatening or do not result in death or hospitalisation but may jeopardise the subject or may require medical or surgical intervention to prevent one of the other outcomes listed in the definition above, should also be considered serious.</w:t>
      </w:r>
    </w:p>
    <w:p w14:paraId="61B83DD9" w14:textId="77777777" w:rsidR="00383257" w:rsidRDefault="00383257" w:rsidP="00383257">
      <w:pPr>
        <w:ind w:left="426"/>
        <w:rPr>
          <w:b/>
        </w:rPr>
      </w:pPr>
      <w:r>
        <w:rPr>
          <w:b/>
        </w:rPr>
        <w:t>4.</w:t>
      </w:r>
      <w:r w:rsidR="0081204E">
        <w:rPr>
          <w:b/>
        </w:rPr>
        <w:t>5</w:t>
      </w:r>
      <w:r>
        <w:rPr>
          <w:b/>
        </w:rPr>
        <w:tab/>
        <w:t>Un</w:t>
      </w:r>
      <w:r w:rsidR="00E46BF3">
        <w:rPr>
          <w:b/>
        </w:rPr>
        <w:t>anticipated</w:t>
      </w:r>
      <w:r>
        <w:rPr>
          <w:b/>
        </w:rPr>
        <w:t xml:space="preserve"> Serious Adverse Device Effect (USADE)</w:t>
      </w:r>
    </w:p>
    <w:p w14:paraId="74298CB0" w14:textId="77777777" w:rsidR="0081204E" w:rsidRDefault="0081204E" w:rsidP="0081204E">
      <w:pPr>
        <w:autoSpaceDE w:val="0"/>
        <w:autoSpaceDN w:val="0"/>
        <w:adjustRightInd w:val="0"/>
        <w:spacing w:after="240"/>
        <w:ind w:left="426"/>
        <w:rPr>
          <w:rFonts w:cs="Arial"/>
          <w:szCs w:val="24"/>
          <w:lang w:eastAsia="en-GB"/>
        </w:rPr>
      </w:pPr>
      <w:r w:rsidRPr="006A15B6">
        <w:rPr>
          <w:rFonts w:cs="Arial"/>
          <w:szCs w:val="24"/>
          <w:lang w:eastAsia="en-GB"/>
        </w:rPr>
        <w:t xml:space="preserve">A serious adverse </w:t>
      </w:r>
      <w:r>
        <w:rPr>
          <w:rFonts w:cs="Arial"/>
          <w:szCs w:val="24"/>
          <w:lang w:eastAsia="en-GB"/>
        </w:rPr>
        <w:t>effect</w:t>
      </w:r>
      <w:r w:rsidRPr="006A15B6">
        <w:rPr>
          <w:rFonts w:cs="Arial"/>
          <w:szCs w:val="24"/>
          <w:lang w:eastAsia="en-GB"/>
        </w:rPr>
        <w:t xml:space="preserve">, the nature and severity of which is </w:t>
      </w:r>
      <w:r w:rsidR="00ED5701" w:rsidRPr="006A15B6">
        <w:rPr>
          <w:rFonts w:cs="Arial"/>
          <w:szCs w:val="24"/>
          <w:lang w:eastAsia="en-GB"/>
        </w:rPr>
        <w:t>not consistent with t</w:t>
      </w:r>
      <w:r w:rsidR="00ED5701">
        <w:rPr>
          <w:rFonts w:cs="Arial"/>
          <w:szCs w:val="24"/>
          <w:lang w:eastAsia="en-GB"/>
        </w:rPr>
        <w:t>he protocol, IB</w:t>
      </w:r>
      <w:r w:rsidR="002E6213">
        <w:rPr>
          <w:rFonts w:cs="Arial"/>
          <w:szCs w:val="24"/>
          <w:lang w:eastAsia="en-GB"/>
        </w:rPr>
        <w:t xml:space="preserve">, risk analysis report or </w:t>
      </w:r>
      <w:r w:rsidR="00ED5701">
        <w:rPr>
          <w:rFonts w:cs="Arial"/>
          <w:szCs w:val="24"/>
          <w:lang w:eastAsia="en-GB"/>
        </w:rPr>
        <w:t>risk assessment (i.e. is previously undocumented).</w:t>
      </w:r>
      <w:r w:rsidRPr="006A15B6">
        <w:rPr>
          <w:rFonts w:cs="Arial"/>
          <w:szCs w:val="24"/>
          <w:lang w:eastAsia="en-GB"/>
        </w:rPr>
        <w:t xml:space="preserve">  </w:t>
      </w:r>
      <w:r>
        <w:rPr>
          <w:rFonts w:cs="Arial"/>
          <w:szCs w:val="24"/>
          <w:lang w:eastAsia="en-GB"/>
        </w:rPr>
        <w:t>The</w:t>
      </w:r>
      <w:r w:rsidRPr="006A15B6">
        <w:rPr>
          <w:rFonts w:cs="Arial"/>
          <w:szCs w:val="24"/>
          <w:lang w:eastAsia="en-GB"/>
        </w:rPr>
        <w:t xml:space="preserve"> </w:t>
      </w:r>
      <w:r>
        <w:rPr>
          <w:rFonts w:cs="Arial"/>
          <w:szCs w:val="24"/>
          <w:lang w:eastAsia="en-GB"/>
        </w:rPr>
        <w:t>effect</w:t>
      </w:r>
      <w:r w:rsidRPr="006A15B6">
        <w:rPr>
          <w:rFonts w:cs="Arial"/>
          <w:szCs w:val="24"/>
          <w:lang w:eastAsia="en-GB"/>
        </w:rPr>
        <w:t xml:space="preserve"> is considered to be serious</w:t>
      </w:r>
      <w:r>
        <w:rPr>
          <w:rFonts w:cs="Arial"/>
          <w:szCs w:val="24"/>
          <w:lang w:eastAsia="en-GB"/>
        </w:rPr>
        <w:t>, related to the device</w:t>
      </w:r>
      <w:r w:rsidRPr="006A15B6">
        <w:rPr>
          <w:rFonts w:cs="Arial"/>
          <w:szCs w:val="24"/>
          <w:lang w:eastAsia="en-GB"/>
        </w:rPr>
        <w:t xml:space="preserve"> and un</w:t>
      </w:r>
      <w:r w:rsidR="00E46BF3">
        <w:rPr>
          <w:rFonts w:cs="Arial"/>
          <w:szCs w:val="24"/>
          <w:lang w:eastAsia="en-GB"/>
        </w:rPr>
        <w:t>anticipated</w:t>
      </w:r>
      <w:r w:rsidRPr="006A15B6">
        <w:rPr>
          <w:rFonts w:cs="Arial"/>
          <w:szCs w:val="24"/>
          <w:lang w:eastAsia="en-GB"/>
        </w:rPr>
        <w:t>.</w:t>
      </w:r>
    </w:p>
    <w:p w14:paraId="79073A7D" w14:textId="77777777" w:rsidR="002E6213" w:rsidRDefault="002E6213" w:rsidP="0081204E">
      <w:pPr>
        <w:autoSpaceDE w:val="0"/>
        <w:autoSpaceDN w:val="0"/>
        <w:adjustRightInd w:val="0"/>
        <w:spacing w:after="240"/>
        <w:ind w:left="426"/>
        <w:rPr>
          <w:rFonts w:cs="Arial"/>
          <w:szCs w:val="24"/>
          <w:lang w:eastAsia="en-GB"/>
        </w:rPr>
      </w:pPr>
      <w:r>
        <w:rPr>
          <w:rFonts w:cs="Arial"/>
          <w:szCs w:val="24"/>
          <w:lang w:eastAsia="en-GB"/>
        </w:rPr>
        <w:t>MEDDEV 2.7/3 p. 5 also defines an Anticipated SADE (ASADE) as ‘an effect which by its nature, incidence, severity or outcome has been previously identified in the risk analysis report.’</w:t>
      </w:r>
    </w:p>
    <w:p w14:paraId="255BC5AC" w14:textId="77777777" w:rsidR="001514A8" w:rsidRPr="001514A8" w:rsidRDefault="001514A8" w:rsidP="001514A8">
      <w:pPr>
        <w:pStyle w:val="NoSpacing"/>
        <w:ind w:left="426"/>
        <w:rPr>
          <w:b/>
          <w:lang w:eastAsia="en-GB"/>
        </w:rPr>
      </w:pPr>
      <w:r w:rsidRPr="001514A8">
        <w:rPr>
          <w:b/>
          <w:lang w:eastAsia="en-GB"/>
        </w:rPr>
        <w:t>4.6</w:t>
      </w:r>
      <w:r w:rsidRPr="001514A8">
        <w:rPr>
          <w:b/>
          <w:lang w:eastAsia="en-GB"/>
        </w:rPr>
        <w:tab/>
        <w:t>Device Deficiency</w:t>
      </w:r>
    </w:p>
    <w:p w14:paraId="4CBB1F7D" w14:textId="77777777" w:rsidR="001514A8" w:rsidRPr="001514A8" w:rsidRDefault="001514A8" w:rsidP="0081204E">
      <w:pPr>
        <w:autoSpaceDE w:val="0"/>
        <w:autoSpaceDN w:val="0"/>
        <w:adjustRightInd w:val="0"/>
        <w:spacing w:after="240"/>
        <w:ind w:left="426"/>
        <w:rPr>
          <w:rFonts w:cs="Arial"/>
          <w:szCs w:val="24"/>
          <w:lang w:eastAsia="en-GB"/>
        </w:rPr>
      </w:pPr>
      <w:r>
        <w:rPr>
          <w:rFonts w:cs="Arial"/>
          <w:szCs w:val="24"/>
          <w:lang w:eastAsia="en-GB"/>
        </w:rPr>
        <w:t>‘Device deficiency’ is described as ‘Inadequacy of an investigational medical device related to its identity, quality, durability, reliability, safety or performance. This may include malfunctions, use error or inadequacy in the information supplied by the manufacturer.</w:t>
      </w:r>
      <w:r w:rsidR="00DB52A4">
        <w:rPr>
          <w:rFonts w:cs="Arial"/>
          <w:szCs w:val="24"/>
          <w:lang w:eastAsia="en-GB"/>
        </w:rPr>
        <w:t>’</w:t>
      </w:r>
      <w:r>
        <w:rPr>
          <w:rFonts w:cs="Arial"/>
          <w:szCs w:val="24"/>
          <w:lang w:eastAsia="en-GB"/>
        </w:rPr>
        <w:t xml:space="preserve"> (MEDDEV 2.7/3)</w:t>
      </w:r>
    </w:p>
    <w:p w14:paraId="41B3ED9B" w14:textId="77777777" w:rsidR="00383257" w:rsidRDefault="00383257" w:rsidP="00383257">
      <w:pPr>
        <w:ind w:left="426"/>
        <w:rPr>
          <w:b/>
        </w:rPr>
      </w:pPr>
      <w:r>
        <w:rPr>
          <w:b/>
        </w:rPr>
        <w:t>4.</w:t>
      </w:r>
      <w:r w:rsidR="001514A8">
        <w:rPr>
          <w:b/>
        </w:rPr>
        <w:t>7</w:t>
      </w:r>
      <w:r>
        <w:rPr>
          <w:b/>
        </w:rPr>
        <w:tab/>
        <w:t>Severity</w:t>
      </w:r>
    </w:p>
    <w:p w14:paraId="2EAF1C11" w14:textId="77777777" w:rsidR="0081204E" w:rsidRDefault="0081204E" w:rsidP="00526494">
      <w:pPr>
        <w:pStyle w:val="NoSpacing"/>
        <w:ind w:left="426"/>
      </w:pPr>
      <w:r w:rsidRPr="006A15B6">
        <w:t>The term “severe” is often used to describe the intensity (clinical severity) of a specific event</w:t>
      </w:r>
      <w:r>
        <w:t xml:space="preserve"> or effect</w:t>
      </w:r>
      <w:r w:rsidRPr="006A15B6">
        <w:t>.  This is not the same as “serious”, as defined in 4.4</w:t>
      </w:r>
      <w:r w:rsidR="00063EF3">
        <w:t xml:space="preserve">. </w:t>
      </w:r>
      <w:r w:rsidRPr="006A15B6">
        <w:t>Criteria for grading severity should be included in the protocol.</w:t>
      </w:r>
    </w:p>
    <w:p w14:paraId="0ED479F7" w14:textId="77777777" w:rsidR="006847D1" w:rsidRPr="006A15B6" w:rsidRDefault="006847D1" w:rsidP="00526494">
      <w:pPr>
        <w:pStyle w:val="NoSpacing"/>
        <w:ind w:left="426"/>
        <w:rPr>
          <w:lang w:eastAsia="en-GB"/>
        </w:rPr>
      </w:pPr>
    </w:p>
    <w:p w14:paraId="0857BEA4" w14:textId="77777777" w:rsidR="0081204E" w:rsidRPr="006A15B6" w:rsidRDefault="0081204E" w:rsidP="000C2DE4">
      <w:pPr>
        <w:pStyle w:val="NoSpacing"/>
        <w:numPr>
          <w:ilvl w:val="0"/>
          <w:numId w:val="8"/>
        </w:numPr>
        <w:ind w:left="851"/>
        <w:rPr>
          <w:rFonts w:cs="Arial"/>
          <w:szCs w:val="24"/>
          <w:lang w:eastAsia="en-GB"/>
        </w:rPr>
      </w:pPr>
      <w:r w:rsidRPr="006A15B6">
        <w:rPr>
          <w:rFonts w:cs="Arial"/>
          <w:b/>
          <w:szCs w:val="24"/>
          <w:lang w:eastAsia="en-GB"/>
        </w:rPr>
        <w:t>Mild:</w:t>
      </w:r>
      <w:r w:rsidRPr="006A15B6">
        <w:rPr>
          <w:rFonts w:cs="Arial"/>
          <w:szCs w:val="24"/>
          <w:lang w:eastAsia="en-GB"/>
        </w:rPr>
        <w:t xml:space="preserve"> an event that is easily tolerated by the participant, causing minimal discomfort and not interfering with every day activities.</w:t>
      </w:r>
    </w:p>
    <w:p w14:paraId="29395F1D" w14:textId="77777777" w:rsidR="0081204E" w:rsidRPr="006A15B6" w:rsidRDefault="0081204E" w:rsidP="000C2DE4">
      <w:pPr>
        <w:pStyle w:val="NoSpacing"/>
        <w:numPr>
          <w:ilvl w:val="0"/>
          <w:numId w:val="8"/>
        </w:numPr>
        <w:ind w:left="851"/>
        <w:rPr>
          <w:rFonts w:cs="Arial"/>
          <w:szCs w:val="24"/>
          <w:lang w:eastAsia="en-GB"/>
        </w:rPr>
      </w:pPr>
      <w:r w:rsidRPr="006A15B6">
        <w:rPr>
          <w:rFonts w:cs="Arial"/>
          <w:b/>
          <w:szCs w:val="24"/>
          <w:lang w:eastAsia="en-GB"/>
        </w:rPr>
        <w:t>Moderate:</w:t>
      </w:r>
      <w:r w:rsidRPr="006A15B6">
        <w:rPr>
          <w:rFonts w:cs="Arial"/>
          <w:szCs w:val="24"/>
          <w:lang w:eastAsia="en-GB"/>
        </w:rPr>
        <w:t xml:space="preserve"> an event that is sufficiently discomforting to interfere with normal everyday activities.</w:t>
      </w:r>
    </w:p>
    <w:p w14:paraId="1902A498" w14:textId="77777777" w:rsidR="0081204E" w:rsidRPr="006A15B6" w:rsidRDefault="0081204E" w:rsidP="000C2DE4">
      <w:pPr>
        <w:pStyle w:val="NoSpacing"/>
        <w:numPr>
          <w:ilvl w:val="0"/>
          <w:numId w:val="8"/>
        </w:numPr>
        <w:ind w:left="851"/>
        <w:rPr>
          <w:rFonts w:cs="Arial"/>
          <w:szCs w:val="24"/>
          <w:lang w:eastAsia="en-GB"/>
        </w:rPr>
      </w:pPr>
      <w:r w:rsidRPr="006A15B6">
        <w:rPr>
          <w:rFonts w:cs="Arial"/>
          <w:b/>
          <w:szCs w:val="24"/>
          <w:lang w:eastAsia="en-GB"/>
        </w:rPr>
        <w:t>Severe:</w:t>
      </w:r>
      <w:r w:rsidRPr="006A15B6">
        <w:rPr>
          <w:rFonts w:cs="Arial"/>
          <w:szCs w:val="24"/>
          <w:lang w:eastAsia="en-GB"/>
        </w:rPr>
        <w:t xml:space="preserve"> an event that prevents normal everyday activities</w:t>
      </w:r>
    </w:p>
    <w:p w14:paraId="15711285" w14:textId="77777777" w:rsidR="00383257" w:rsidRDefault="00383257" w:rsidP="00383257">
      <w:pPr>
        <w:ind w:left="426"/>
        <w:rPr>
          <w:b/>
        </w:rPr>
      </w:pPr>
    </w:p>
    <w:p w14:paraId="2DE02DBE" w14:textId="77777777" w:rsidR="00383257" w:rsidRDefault="00383257" w:rsidP="00383257">
      <w:pPr>
        <w:ind w:left="426"/>
        <w:rPr>
          <w:b/>
        </w:rPr>
      </w:pPr>
      <w:r>
        <w:rPr>
          <w:b/>
        </w:rPr>
        <w:t>4.</w:t>
      </w:r>
      <w:r w:rsidR="001514A8">
        <w:rPr>
          <w:b/>
        </w:rPr>
        <w:t>8</w:t>
      </w:r>
      <w:r>
        <w:rPr>
          <w:b/>
        </w:rPr>
        <w:tab/>
      </w:r>
      <w:r w:rsidR="0000702A">
        <w:rPr>
          <w:b/>
        </w:rPr>
        <w:t>Causality Assessment Activities</w:t>
      </w:r>
    </w:p>
    <w:p w14:paraId="0C47990F" w14:textId="77777777" w:rsidR="0081204E" w:rsidRPr="00063EF3" w:rsidRDefault="0000702A" w:rsidP="00063EF3">
      <w:pPr>
        <w:autoSpaceDE w:val="0"/>
        <w:autoSpaceDN w:val="0"/>
        <w:adjustRightInd w:val="0"/>
        <w:spacing w:after="240"/>
        <w:ind w:left="426"/>
        <w:rPr>
          <w:rFonts w:cs="Arial"/>
          <w:color w:val="0B0C0C"/>
          <w:szCs w:val="24"/>
          <w:shd w:val="clear" w:color="auto" w:fill="FFFFFF"/>
        </w:rPr>
      </w:pPr>
      <w:r>
        <w:rPr>
          <w:rFonts w:cs="Arial"/>
          <w:color w:val="0B0C0C"/>
          <w:szCs w:val="24"/>
          <w:shd w:val="clear" w:color="auto" w:fill="FFFFFF"/>
        </w:rPr>
        <w:t xml:space="preserve">During </w:t>
      </w:r>
      <w:r w:rsidR="006847D1">
        <w:rPr>
          <w:rFonts w:cs="Arial"/>
          <w:color w:val="0B0C0C"/>
          <w:szCs w:val="24"/>
          <w:shd w:val="clear" w:color="auto" w:fill="FFFFFF"/>
        </w:rPr>
        <w:t xml:space="preserve">the </w:t>
      </w:r>
      <w:r>
        <w:rPr>
          <w:rFonts w:cs="Arial"/>
          <w:color w:val="0B0C0C"/>
          <w:szCs w:val="24"/>
          <w:shd w:val="clear" w:color="auto" w:fill="FFFFFF"/>
        </w:rPr>
        <w:t>causality assessment, clinical judgement shall be used and the relevant documents, such as the Investigator’s Brochure (IB), the Clinical Protocol or the Risk Analysis Report shall be consulted, as all the foreseeable serious adverse events and the potential risks are listed and assessed there. (MEDDEV 2.7.1</w:t>
      </w:r>
      <w:r w:rsidR="006847D1">
        <w:rPr>
          <w:rFonts w:cs="Arial"/>
          <w:color w:val="0B0C0C"/>
          <w:szCs w:val="24"/>
          <w:shd w:val="clear" w:color="auto" w:fill="FFFFFF"/>
        </w:rPr>
        <w:t>, Revision 4 (June 2016</w:t>
      </w:r>
      <w:r>
        <w:rPr>
          <w:rFonts w:cs="Arial"/>
          <w:color w:val="0B0C0C"/>
          <w:szCs w:val="24"/>
          <w:shd w:val="clear" w:color="auto" w:fill="FFFFFF"/>
        </w:rPr>
        <w:t>)</w:t>
      </w:r>
      <w:r w:rsidR="006847D1">
        <w:rPr>
          <w:rFonts w:cs="Arial"/>
          <w:color w:val="0B0C0C"/>
          <w:szCs w:val="24"/>
          <w:shd w:val="clear" w:color="auto" w:fill="FFFFFF"/>
        </w:rPr>
        <w:t>.</w:t>
      </w:r>
      <w:r w:rsidR="00063EF3">
        <w:rPr>
          <w:rFonts w:cs="Arial"/>
          <w:color w:val="0B0C0C"/>
          <w:szCs w:val="24"/>
          <w:shd w:val="clear" w:color="auto" w:fill="FFFFFF"/>
        </w:rPr>
        <w:t xml:space="preserve"> </w:t>
      </w:r>
      <w:r w:rsidR="0081204E" w:rsidRPr="006A15B6">
        <w:rPr>
          <w:rFonts w:eastAsia="Arial Unicode MS" w:cs="Arial"/>
          <w:szCs w:val="24"/>
        </w:rPr>
        <w:t xml:space="preserve">To be categorised as </w:t>
      </w:r>
      <w:r w:rsidR="00F57D80">
        <w:rPr>
          <w:rFonts w:eastAsia="Arial Unicode MS" w:cs="Arial"/>
          <w:szCs w:val="24"/>
        </w:rPr>
        <w:t xml:space="preserve">‘expected’, the effect </w:t>
      </w:r>
      <w:r>
        <w:rPr>
          <w:rFonts w:eastAsia="Arial Unicode MS" w:cs="Arial"/>
          <w:szCs w:val="24"/>
        </w:rPr>
        <w:t>must be clearly listed in these documents</w:t>
      </w:r>
      <w:r w:rsidR="0081204E" w:rsidRPr="006A15B6">
        <w:rPr>
          <w:rFonts w:eastAsia="Arial Unicode MS" w:cs="Arial"/>
          <w:szCs w:val="24"/>
        </w:rPr>
        <w:t>.</w:t>
      </w:r>
    </w:p>
    <w:p w14:paraId="31C78F6B" w14:textId="77777777" w:rsidR="0081204E" w:rsidRPr="006A15B6" w:rsidRDefault="00F57D80" w:rsidP="00F57D80">
      <w:pPr>
        <w:pStyle w:val="NoSpacing"/>
        <w:ind w:left="426"/>
        <w:rPr>
          <w:rFonts w:eastAsia="Arial Unicode MS" w:cs="Arial"/>
          <w:szCs w:val="24"/>
        </w:rPr>
      </w:pPr>
      <w:r>
        <w:rPr>
          <w:rFonts w:eastAsia="Arial Unicode MS" w:cs="Arial"/>
          <w:szCs w:val="24"/>
        </w:rPr>
        <w:t xml:space="preserve">Expected </w:t>
      </w:r>
      <w:r w:rsidR="0081204E" w:rsidRPr="006A15B6">
        <w:rPr>
          <w:rFonts w:eastAsia="Arial Unicode MS" w:cs="Arial"/>
          <w:szCs w:val="24"/>
        </w:rPr>
        <w:t>does not mean:</w:t>
      </w:r>
    </w:p>
    <w:p w14:paraId="4FD5D3D6" w14:textId="77777777" w:rsidR="0081204E" w:rsidRPr="006A15B6" w:rsidRDefault="0081204E" w:rsidP="000C2DE4">
      <w:pPr>
        <w:pStyle w:val="NoSpacing"/>
        <w:numPr>
          <w:ilvl w:val="0"/>
          <w:numId w:val="9"/>
        </w:numPr>
        <w:ind w:left="1134"/>
        <w:rPr>
          <w:rFonts w:eastAsia="Arial Unicode MS" w:cs="Arial"/>
          <w:szCs w:val="24"/>
        </w:rPr>
      </w:pPr>
      <w:r>
        <w:rPr>
          <w:rFonts w:eastAsia="Arial Unicode MS" w:cs="Arial"/>
          <w:szCs w:val="24"/>
        </w:rPr>
        <w:t xml:space="preserve">An event </w:t>
      </w:r>
      <w:r w:rsidRPr="006A15B6">
        <w:rPr>
          <w:rFonts w:eastAsia="Arial Unicode MS" w:cs="Arial"/>
          <w:szCs w:val="24"/>
        </w:rPr>
        <w:t>commonly seen in this patient population or in patients with this particular disease</w:t>
      </w:r>
    </w:p>
    <w:p w14:paraId="592C9C05" w14:textId="77777777" w:rsidR="0081204E" w:rsidRPr="006A15B6" w:rsidRDefault="0081204E" w:rsidP="000C2DE4">
      <w:pPr>
        <w:pStyle w:val="NoSpacing"/>
        <w:numPr>
          <w:ilvl w:val="0"/>
          <w:numId w:val="9"/>
        </w:numPr>
        <w:ind w:left="1134"/>
        <w:rPr>
          <w:rFonts w:eastAsia="Arial Unicode MS" w:cs="Arial"/>
          <w:szCs w:val="24"/>
        </w:rPr>
      </w:pPr>
      <w:r w:rsidRPr="006A15B6">
        <w:rPr>
          <w:rFonts w:eastAsia="Arial Unicode MS" w:cs="Arial"/>
          <w:szCs w:val="24"/>
        </w:rPr>
        <w:t xml:space="preserve">A common side effect of surgery or of </w:t>
      </w:r>
      <w:r>
        <w:rPr>
          <w:rFonts w:eastAsia="Arial Unicode MS" w:cs="Arial"/>
          <w:szCs w:val="24"/>
        </w:rPr>
        <w:t>non-investigational devices or medications</w:t>
      </w:r>
      <w:r w:rsidRPr="006A15B6">
        <w:rPr>
          <w:rFonts w:eastAsia="Arial Unicode MS" w:cs="Arial"/>
          <w:szCs w:val="24"/>
        </w:rPr>
        <w:t xml:space="preserve"> </w:t>
      </w:r>
    </w:p>
    <w:p w14:paraId="1F6A5F82" w14:textId="77777777" w:rsidR="0081204E" w:rsidRPr="006A15B6" w:rsidRDefault="0081204E" w:rsidP="000C2DE4">
      <w:pPr>
        <w:pStyle w:val="NoSpacing"/>
        <w:numPr>
          <w:ilvl w:val="0"/>
          <w:numId w:val="9"/>
        </w:numPr>
        <w:ind w:left="1134"/>
        <w:rPr>
          <w:rFonts w:eastAsia="Arial Unicode MS" w:cs="Arial"/>
          <w:szCs w:val="24"/>
        </w:rPr>
      </w:pPr>
      <w:r>
        <w:rPr>
          <w:rFonts w:eastAsia="Arial Unicode MS" w:cs="Arial"/>
          <w:szCs w:val="24"/>
        </w:rPr>
        <w:t xml:space="preserve">An effect </w:t>
      </w:r>
      <w:r w:rsidRPr="006A15B6">
        <w:rPr>
          <w:rFonts w:eastAsia="Arial Unicode MS" w:cs="Arial"/>
          <w:szCs w:val="24"/>
        </w:rPr>
        <w:t>which causes no concern for the investigator</w:t>
      </w:r>
    </w:p>
    <w:p w14:paraId="4EDEC316" w14:textId="77777777" w:rsidR="0081204E" w:rsidRPr="006A15B6" w:rsidRDefault="0081204E" w:rsidP="0081204E">
      <w:pPr>
        <w:pStyle w:val="NoSpacing"/>
        <w:rPr>
          <w:rFonts w:eastAsia="Arial Unicode MS" w:cs="Arial"/>
          <w:szCs w:val="24"/>
        </w:rPr>
      </w:pPr>
    </w:p>
    <w:p w14:paraId="52EEFA0F" w14:textId="77777777" w:rsidR="00383257" w:rsidRDefault="00A53E13" w:rsidP="0081204E">
      <w:pPr>
        <w:ind w:left="426"/>
        <w:rPr>
          <w:b/>
        </w:rPr>
      </w:pPr>
      <w:r>
        <w:rPr>
          <w:rFonts w:eastAsia="Arial Unicode MS" w:cs="Arial"/>
          <w:szCs w:val="24"/>
        </w:rPr>
        <w:lastRenderedPageBreak/>
        <w:t>T</w:t>
      </w:r>
      <w:r w:rsidR="0081204E" w:rsidRPr="006A15B6">
        <w:rPr>
          <w:rFonts w:eastAsia="Arial Unicode MS" w:cs="Arial"/>
          <w:szCs w:val="24"/>
        </w:rPr>
        <w:t>he CI provide</w:t>
      </w:r>
      <w:r>
        <w:rPr>
          <w:rFonts w:eastAsia="Arial Unicode MS" w:cs="Arial"/>
          <w:szCs w:val="24"/>
        </w:rPr>
        <w:t>s</w:t>
      </w:r>
      <w:r w:rsidR="0081204E" w:rsidRPr="006A15B6">
        <w:rPr>
          <w:rFonts w:eastAsia="Arial Unicode MS" w:cs="Arial"/>
          <w:szCs w:val="24"/>
        </w:rPr>
        <w:t xml:space="preserve"> the sponsor’s assessment of the </w:t>
      </w:r>
      <w:r w:rsidR="00A20463">
        <w:rPr>
          <w:rFonts w:eastAsia="Arial Unicode MS" w:cs="Arial"/>
          <w:szCs w:val="24"/>
        </w:rPr>
        <w:t xml:space="preserve">relatedness </w:t>
      </w:r>
      <w:r w:rsidR="0081204E" w:rsidRPr="006A15B6">
        <w:rPr>
          <w:rFonts w:eastAsia="Arial Unicode MS" w:cs="Arial"/>
          <w:szCs w:val="24"/>
        </w:rPr>
        <w:t xml:space="preserve">of adverse events and the expectedness of adverse </w:t>
      </w:r>
      <w:r w:rsidR="00526494">
        <w:rPr>
          <w:rFonts w:eastAsia="Arial Unicode MS" w:cs="Arial"/>
          <w:szCs w:val="24"/>
        </w:rPr>
        <w:t>device effects</w:t>
      </w:r>
      <w:r w:rsidR="0081204E" w:rsidRPr="006A15B6">
        <w:rPr>
          <w:rFonts w:eastAsia="Arial Unicode MS" w:cs="Arial"/>
          <w:szCs w:val="24"/>
        </w:rPr>
        <w:t xml:space="preserve"> occurring in Trust sponsored </w:t>
      </w:r>
      <w:r w:rsidR="00526494">
        <w:rPr>
          <w:rFonts w:eastAsia="Arial Unicode MS" w:cs="Arial"/>
          <w:szCs w:val="24"/>
        </w:rPr>
        <w:t>Clinical Investigations of Medical Devices</w:t>
      </w:r>
      <w:r w:rsidR="00063EF3">
        <w:rPr>
          <w:rFonts w:eastAsia="Arial Unicode MS" w:cs="Arial"/>
          <w:szCs w:val="24"/>
        </w:rPr>
        <w:t xml:space="preserve"> as described in 3.2</w:t>
      </w:r>
      <w:r w:rsidR="0081204E" w:rsidRPr="006A15B6">
        <w:rPr>
          <w:rFonts w:eastAsia="Arial Unicode MS" w:cs="Arial"/>
          <w:szCs w:val="24"/>
        </w:rPr>
        <w:t xml:space="preserve">.  </w:t>
      </w:r>
    </w:p>
    <w:p w14:paraId="34FBEDD6" w14:textId="77777777" w:rsidR="0081204E" w:rsidRDefault="0081204E" w:rsidP="00383257">
      <w:pPr>
        <w:ind w:left="426"/>
        <w:rPr>
          <w:b/>
        </w:rPr>
      </w:pPr>
    </w:p>
    <w:p w14:paraId="3FE00328" w14:textId="77777777" w:rsidR="00383257" w:rsidRDefault="00383257" w:rsidP="00383257">
      <w:pPr>
        <w:ind w:left="426"/>
        <w:rPr>
          <w:b/>
        </w:rPr>
      </w:pPr>
      <w:r>
        <w:rPr>
          <w:b/>
        </w:rPr>
        <w:t>4.</w:t>
      </w:r>
      <w:r w:rsidR="001514A8">
        <w:rPr>
          <w:b/>
        </w:rPr>
        <w:t>9</w:t>
      </w:r>
      <w:r>
        <w:rPr>
          <w:b/>
        </w:rPr>
        <w:tab/>
        <w:t>Classification of Adverse Events and Device Effects</w:t>
      </w:r>
    </w:p>
    <w:p w14:paraId="0FE5FC43" w14:textId="77777777" w:rsidR="00123C5C" w:rsidRDefault="00526494" w:rsidP="00583039">
      <w:pPr>
        <w:ind w:left="426"/>
        <w:rPr>
          <w:rFonts w:cs="Arial"/>
          <w:szCs w:val="24"/>
          <w:lang w:eastAsia="en-GB"/>
        </w:rPr>
      </w:pPr>
      <w:r w:rsidRPr="006A15B6">
        <w:rPr>
          <w:rFonts w:cs="Arial"/>
          <w:szCs w:val="24"/>
          <w:lang w:eastAsia="en-GB"/>
        </w:rPr>
        <w:t xml:space="preserve">With reference to the </w:t>
      </w:r>
      <w:r w:rsidR="00583039">
        <w:rPr>
          <w:rFonts w:cs="Arial"/>
          <w:szCs w:val="24"/>
          <w:lang w:eastAsia="en-GB"/>
        </w:rPr>
        <w:t>below</w:t>
      </w:r>
      <w:r w:rsidRPr="006A15B6">
        <w:rPr>
          <w:rFonts w:cs="Arial"/>
          <w:szCs w:val="24"/>
          <w:lang w:eastAsia="en-GB"/>
        </w:rPr>
        <w:t xml:space="preserve"> diagram, the definitions given in section 4</w:t>
      </w:r>
      <w:r w:rsidR="00583039">
        <w:rPr>
          <w:rFonts w:cs="Arial"/>
          <w:szCs w:val="24"/>
          <w:lang w:eastAsia="en-GB"/>
        </w:rPr>
        <w:t xml:space="preserve"> of this SOP</w:t>
      </w:r>
      <w:r w:rsidRPr="006A15B6">
        <w:rPr>
          <w:rFonts w:cs="Arial"/>
          <w:szCs w:val="24"/>
          <w:lang w:eastAsia="en-GB"/>
        </w:rPr>
        <w:t xml:space="preserve">, and the protocol, determine the nature of the adverse event.  </w:t>
      </w:r>
    </w:p>
    <w:p w14:paraId="050B4AF2" w14:textId="77777777" w:rsidR="002E6213" w:rsidRDefault="002E6213" w:rsidP="00583039">
      <w:pPr>
        <w:ind w:left="426"/>
        <w:rPr>
          <w:rFonts w:cs="Arial"/>
          <w:szCs w:val="24"/>
          <w:lang w:eastAsia="en-GB"/>
        </w:rPr>
      </w:pPr>
    </w:p>
    <w:p w14:paraId="1D46C6A9" w14:textId="77777777" w:rsidR="002E6213" w:rsidRDefault="002E6213" w:rsidP="00583039">
      <w:pPr>
        <w:ind w:left="426"/>
        <w:rPr>
          <w:rFonts w:cs="Arial"/>
          <w:szCs w:val="24"/>
          <w:lang w:eastAsia="en-GB"/>
        </w:rPr>
      </w:pPr>
      <w:r>
        <w:rPr>
          <w:noProof/>
          <w:lang w:eastAsia="en-GB"/>
        </w:rPr>
        <w:drawing>
          <wp:inline distT="0" distB="0" distL="0" distR="0" wp14:anchorId="1164071B" wp14:editId="45715AD8">
            <wp:extent cx="5789295" cy="5968664"/>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89295" cy="5968664"/>
                    </a:xfrm>
                    <a:prstGeom prst="rect">
                      <a:avLst/>
                    </a:prstGeom>
                  </pic:spPr>
                </pic:pic>
              </a:graphicData>
            </a:graphic>
          </wp:inline>
        </w:drawing>
      </w:r>
    </w:p>
    <w:p w14:paraId="3F400355" w14:textId="77777777" w:rsidR="002E6213" w:rsidRDefault="002E6213" w:rsidP="00583039">
      <w:pPr>
        <w:ind w:left="426"/>
        <w:rPr>
          <w:rFonts w:cs="Arial"/>
          <w:szCs w:val="24"/>
          <w:lang w:eastAsia="en-GB"/>
        </w:rPr>
      </w:pPr>
    </w:p>
    <w:p w14:paraId="15CCA7BA" w14:textId="77777777" w:rsidR="00526486" w:rsidRPr="00383257" w:rsidRDefault="00383257" w:rsidP="00383257">
      <w:pPr>
        <w:rPr>
          <w:rFonts w:eastAsia="Arial Unicode MS"/>
          <w:b/>
        </w:rPr>
      </w:pPr>
      <w:r w:rsidRPr="00383257">
        <w:rPr>
          <w:rFonts w:eastAsia="Arial Unicode MS"/>
          <w:b/>
        </w:rPr>
        <w:t>5</w:t>
      </w:r>
      <w:r>
        <w:rPr>
          <w:rFonts w:eastAsia="Arial Unicode MS"/>
          <w:b/>
        </w:rPr>
        <w:tab/>
      </w:r>
      <w:r w:rsidRPr="00383257">
        <w:rPr>
          <w:rFonts w:eastAsia="Arial Unicode MS"/>
          <w:b/>
        </w:rPr>
        <w:t>Recording and Reporting Adverse Events and Device Effects</w:t>
      </w:r>
    </w:p>
    <w:p w14:paraId="674B47DC" w14:textId="77777777" w:rsidR="00383257" w:rsidRDefault="00383257" w:rsidP="00383257">
      <w:pPr>
        <w:rPr>
          <w:rFonts w:eastAsia="Arial Unicode MS"/>
        </w:rPr>
      </w:pPr>
    </w:p>
    <w:p w14:paraId="4E10B317" w14:textId="77777777" w:rsidR="00383257" w:rsidRDefault="00383257" w:rsidP="00884460">
      <w:pPr>
        <w:ind w:left="1418" w:hanging="992"/>
        <w:rPr>
          <w:rFonts w:eastAsia="Arial Unicode MS"/>
          <w:b/>
        </w:rPr>
      </w:pPr>
      <w:r>
        <w:rPr>
          <w:rFonts w:eastAsia="Arial Unicode MS"/>
          <w:b/>
        </w:rPr>
        <w:t>5.1</w:t>
      </w:r>
      <w:r>
        <w:rPr>
          <w:rFonts w:eastAsia="Arial Unicode MS"/>
          <w:b/>
        </w:rPr>
        <w:tab/>
        <w:t>Adverse Event</w:t>
      </w:r>
      <w:r w:rsidR="00884460">
        <w:rPr>
          <w:rFonts w:eastAsia="Arial Unicode MS"/>
          <w:b/>
        </w:rPr>
        <w:t>s</w:t>
      </w:r>
      <w:r>
        <w:rPr>
          <w:rFonts w:eastAsia="Arial Unicode MS"/>
          <w:b/>
        </w:rPr>
        <w:t xml:space="preserve"> (AE)</w:t>
      </w:r>
      <w:r w:rsidR="00884460">
        <w:rPr>
          <w:rFonts w:eastAsia="Arial Unicode MS"/>
          <w:b/>
        </w:rPr>
        <w:t>, Adverse Device Effects (ADE) and Un</w:t>
      </w:r>
      <w:r w:rsidR="00E46BF3">
        <w:rPr>
          <w:rFonts w:eastAsia="Arial Unicode MS"/>
          <w:b/>
        </w:rPr>
        <w:t xml:space="preserve">anticipated </w:t>
      </w:r>
      <w:r w:rsidR="00884460">
        <w:rPr>
          <w:rFonts w:eastAsia="Arial Unicode MS"/>
          <w:b/>
        </w:rPr>
        <w:t>Adverse Device Effects (UADE)</w:t>
      </w:r>
    </w:p>
    <w:p w14:paraId="71B34FF8" w14:textId="77777777" w:rsidR="000E2916" w:rsidRDefault="000E2916" w:rsidP="00383257">
      <w:pPr>
        <w:ind w:left="426"/>
        <w:rPr>
          <w:rFonts w:eastAsia="Arial Unicode MS"/>
          <w:b/>
        </w:rPr>
      </w:pPr>
    </w:p>
    <w:p w14:paraId="070FDC67" w14:textId="77777777" w:rsidR="00526494" w:rsidRPr="00526494" w:rsidRDefault="00526494" w:rsidP="000E2916">
      <w:pPr>
        <w:spacing w:after="240"/>
        <w:ind w:left="1701" w:hanging="850"/>
        <w:rPr>
          <w:rFonts w:eastAsia="Arial Unicode MS" w:cs="Arial"/>
          <w:b/>
          <w:color w:val="000000"/>
          <w:szCs w:val="24"/>
          <w:u w:val="single"/>
        </w:rPr>
      </w:pPr>
      <w:bookmarkStart w:id="0" w:name="_Ref222823206"/>
      <w:bookmarkStart w:id="1" w:name="_Ref222722649"/>
      <w:r w:rsidRPr="00526494">
        <w:rPr>
          <w:rFonts w:eastAsia="Arial Unicode MS" w:cs="Arial"/>
          <w:b/>
          <w:color w:val="000000"/>
          <w:szCs w:val="24"/>
        </w:rPr>
        <w:t>5.1.1</w:t>
      </w:r>
      <w:r>
        <w:rPr>
          <w:rFonts w:eastAsia="Arial Unicode MS" w:cs="Arial"/>
          <w:color w:val="000000"/>
          <w:szCs w:val="24"/>
        </w:rPr>
        <w:tab/>
      </w:r>
      <w:r w:rsidRPr="00526494">
        <w:rPr>
          <w:rFonts w:eastAsia="Arial Unicode MS" w:cs="Arial"/>
          <w:color w:val="000000"/>
          <w:szCs w:val="24"/>
        </w:rPr>
        <w:t>Check whether the AE</w:t>
      </w:r>
      <w:r w:rsidR="00884460">
        <w:rPr>
          <w:rFonts w:eastAsia="Arial Unicode MS" w:cs="Arial"/>
          <w:color w:val="000000"/>
          <w:szCs w:val="24"/>
        </w:rPr>
        <w:t>/ADE</w:t>
      </w:r>
      <w:r w:rsidRPr="00526494">
        <w:rPr>
          <w:rFonts w:eastAsia="Arial Unicode MS" w:cs="Arial"/>
          <w:color w:val="000000"/>
          <w:szCs w:val="24"/>
        </w:rPr>
        <w:t xml:space="preserve"> is classified in the protocol as being exempt from reporting.  For exempted events, take action as </w:t>
      </w:r>
      <w:r w:rsidRPr="00526494">
        <w:rPr>
          <w:rFonts w:eastAsia="Arial Unicode MS" w:cs="Arial"/>
          <w:color w:val="000000"/>
          <w:szCs w:val="24"/>
        </w:rPr>
        <w:lastRenderedPageBreak/>
        <w:t xml:space="preserve">specified in the protocol.  If not exempt, </w:t>
      </w:r>
      <w:r w:rsidR="00884460">
        <w:rPr>
          <w:rFonts w:eastAsia="Arial Unicode MS" w:cs="Arial"/>
          <w:color w:val="000000"/>
          <w:szCs w:val="24"/>
        </w:rPr>
        <w:t xml:space="preserve">or if a UADE, </w:t>
      </w:r>
      <w:r w:rsidRPr="00526494">
        <w:rPr>
          <w:rFonts w:eastAsia="Arial Unicode MS" w:cs="Arial"/>
          <w:color w:val="000000"/>
          <w:szCs w:val="24"/>
        </w:rPr>
        <w:t xml:space="preserve">proceed as </w:t>
      </w:r>
      <w:bookmarkEnd w:id="0"/>
      <w:r>
        <w:rPr>
          <w:rFonts w:eastAsia="Arial Unicode MS" w:cs="Arial"/>
          <w:color w:val="000000"/>
          <w:szCs w:val="24"/>
        </w:rPr>
        <w:t>follows:</w:t>
      </w:r>
    </w:p>
    <w:p w14:paraId="0686FFE9" w14:textId="77777777" w:rsidR="00526494" w:rsidRPr="00526494" w:rsidRDefault="00526494" w:rsidP="00583039">
      <w:pPr>
        <w:pStyle w:val="NoSpacing"/>
        <w:ind w:left="1701" w:hanging="850"/>
      </w:pPr>
      <w:bookmarkStart w:id="2" w:name="_Ref222823298"/>
      <w:r w:rsidRPr="00526494">
        <w:rPr>
          <w:rFonts w:eastAsia="Arial Unicode MS"/>
          <w:b/>
        </w:rPr>
        <w:t>5.1.2</w:t>
      </w:r>
      <w:r>
        <w:rPr>
          <w:rFonts w:eastAsia="Arial Unicode MS"/>
        </w:rPr>
        <w:tab/>
      </w:r>
      <w:r w:rsidRPr="00526494">
        <w:rPr>
          <w:rFonts w:eastAsia="Arial Unicode MS"/>
        </w:rPr>
        <w:t>Clearly document the following in the patient’s medical record:</w:t>
      </w:r>
      <w:bookmarkEnd w:id="1"/>
      <w:bookmarkEnd w:id="2"/>
    </w:p>
    <w:p w14:paraId="041452BB" w14:textId="77777777" w:rsidR="00526494" w:rsidRPr="00526494" w:rsidRDefault="00526494" w:rsidP="00583039">
      <w:pPr>
        <w:pStyle w:val="NoSpacing"/>
        <w:numPr>
          <w:ilvl w:val="0"/>
          <w:numId w:val="10"/>
        </w:numPr>
        <w:ind w:left="1985" w:hanging="284"/>
        <w:rPr>
          <w:rFonts w:eastAsia="Arial Unicode MS" w:cs="Arial"/>
          <w:szCs w:val="24"/>
        </w:rPr>
      </w:pPr>
      <w:r w:rsidRPr="00526494">
        <w:rPr>
          <w:rFonts w:eastAsia="Arial Unicode MS" w:cs="Arial"/>
          <w:szCs w:val="24"/>
        </w:rPr>
        <w:t>The date (and if possible the time) of the onset of the event</w:t>
      </w:r>
      <w:r w:rsidR="00583039">
        <w:rPr>
          <w:rFonts w:eastAsia="Arial Unicode MS" w:cs="Arial"/>
          <w:szCs w:val="24"/>
        </w:rPr>
        <w:t>,</w:t>
      </w:r>
    </w:p>
    <w:p w14:paraId="1AB6958B" w14:textId="77777777" w:rsidR="00526494" w:rsidRPr="00526494" w:rsidRDefault="00583039" w:rsidP="00583039">
      <w:pPr>
        <w:pStyle w:val="NoSpacing"/>
        <w:numPr>
          <w:ilvl w:val="0"/>
          <w:numId w:val="10"/>
        </w:numPr>
        <w:ind w:left="1985" w:hanging="284"/>
        <w:rPr>
          <w:rFonts w:eastAsia="Arial Unicode MS" w:cs="Arial"/>
          <w:szCs w:val="24"/>
        </w:rPr>
      </w:pPr>
      <w:r>
        <w:rPr>
          <w:rFonts w:eastAsia="Arial Unicode MS" w:cs="Arial"/>
          <w:szCs w:val="24"/>
        </w:rPr>
        <w:t>i</w:t>
      </w:r>
      <w:r w:rsidR="00526494" w:rsidRPr="00526494">
        <w:rPr>
          <w:rFonts w:eastAsia="Arial Unicode MS" w:cs="Arial"/>
          <w:szCs w:val="24"/>
        </w:rPr>
        <w:t>f completely resolved, the duration of the event</w:t>
      </w:r>
      <w:r>
        <w:rPr>
          <w:rFonts w:eastAsia="Arial Unicode MS" w:cs="Arial"/>
          <w:szCs w:val="24"/>
        </w:rPr>
        <w:t>,</w:t>
      </w:r>
      <w:r w:rsidR="00526494" w:rsidRPr="00526494">
        <w:rPr>
          <w:rFonts w:eastAsia="Arial Unicode MS" w:cs="Arial"/>
          <w:szCs w:val="24"/>
        </w:rPr>
        <w:t xml:space="preserve"> </w:t>
      </w:r>
    </w:p>
    <w:p w14:paraId="6993C584" w14:textId="77777777" w:rsidR="00526494" w:rsidRPr="00526494" w:rsidRDefault="00583039" w:rsidP="00583039">
      <w:pPr>
        <w:pStyle w:val="NoSpacing"/>
        <w:numPr>
          <w:ilvl w:val="0"/>
          <w:numId w:val="10"/>
        </w:numPr>
        <w:ind w:left="1985" w:hanging="284"/>
        <w:rPr>
          <w:rFonts w:eastAsia="Arial Unicode MS" w:cs="Arial"/>
          <w:szCs w:val="24"/>
        </w:rPr>
      </w:pPr>
      <w:r>
        <w:rPr>
          <w:rFonts w:eastAsia="Arial Unicode MS" w:cs="Arial"/>
          <w:szCs w:val="24"/>
        </w:rPr>
        <w:t>t</w:t>
      </w:r>
      <w:r w:rsidR="00526494" w:rsidRPr="00526494">
        <w:rPr>
          <w:rFonts w:eastAsia="Arial Unicode MS" w:cs="Arial"/>
          <w:szCs w:val="24"/>
        </w:rPr>
        <w:t>he severity of the event – mild, moderate, severe</w:t>
      </w:r>
      <w:r>
        <w:rPr>
          <w:rFonts w:eastAsia="Arial Unicode MS" w:cs="Arial"/>
          <w:szCs w:val="24"/>
        </w:rPr>
        <w:t>,</w:t>
      </w:r>
    </w:p>
    <w:p w14:paraId="650D58DB" w14:textId="77777777" w:rsidR="00526494" w:rsidRPr="00526494" w:rsidRDefault="00583039" w:rsidP="00583039">
      <w:pPr>
        <w:pStyle w:val="NoSpacing"/>
        <w:numPr>
          <w:ilvl w:val="0"/>
          <w:numId w:val="10"/>
        </w:numPr>
        <w:ind w:left="1985" w:hanging="284"/>
        <w:rPr>
          <w:rFonts w:eastAsia="Arial Unicode MS" w:cs="Arial"/>
          <w:szCs w:val="24"/>
        </w:rPr>
      </w:pPr>
      <w:r>
        <w:rPr>
          <w:rFonts w:cs="Arial"/>
          <w:szCs w:val="24"/>
          <w:lang w:eastAsia="en-GB"/>
        </w:rPr>
        <w:t>w</w:t>
      </w:r>
      <w:r w:rsidR="00526494" w:rsidRPr="00526494">
        <w:rPr>
          <w:rFonts w:cs="Arial"/>
          <w:szCs w:val="24"/>
          <w:lang w:eastAsia="en-GB"/>
        </w:rPr>
        <w:t xml:space="preserve">hether the event is considered </w:t>
      </w:r>
      <w:r w:rsidR="00526494" w:rsidRPr="00526494">
        <w:rPr>
          <w:rFonts w:cs="Arial"/>
          <w:bCs/>
          <w:szCs w:val="24"/>
          <w:lang w:eastAsia="en-GB"/>
        </w:rPr>
        <w:t>related</w:t>
      </w:r>
      <w:r w:rsidR="00526494" w:rsidRPr="00526494">
        <w:rPr>
          <w:rFonts w:cs="Arial"/>
          <w:szCs w:val="24"/>
          <w:lang w:eastAsia="en-GB"/>
        </w:rPr>
        <w:t xml:space="preserve"> to the study </w:t>
      </w:r>
      <w:r w:rsidR="00077C6C">
        <w:rPr>
          <w:rFonts w:cs="Arial"/>
          <w:szCs w:val="24"/>
          <w:lang w:eastAsia="en-GB"/>
        </w:rPr>
        <w:t>device</w:t>
      </w:r>
      <w:r w:rsidR="00526494" w:rsidRPr="00526494">
        <w:rPr>
          <w:rFonts w:cs="Arial"/>
          <w:szCs w:val="24"/>
          <w:lang w:eastAsia="en-GB"/>
        </w:rPr>
        <w:t xml:space="preserve"> or not</w:t>
      </w:r>
      <w:r>
        <w:rPr>
          <w:rFonts w:cs="Arial"/>
          <w:szCs w:val="24"/>
          <w:lang w:eastAsia="en-GB"/>
        </w:rPr>
        <w:t>,</w:t>
      </w:r>
    </w:p>
    <w:p w14:paraId="4C16A5B8" w14:textId="77777777" w:rsidR="00526494" w:rsidRPr="00526494" w:rsidRDefault="00583039" w:rsidP="00583039">
      <w:pPr>
        <w:pStyle w:val="NoSpacing"/>
        <w:numPr>
          <w:ilvl w:val="0"/>
          <w:numId w:val="10"/>
        </w:numPr>
        <w:ind w:left="1985" w:hanging="284"/>
        <w:rPr>
          <w:rFonts w:eastAsia="Arial Unicode MS" w:cs="Arial"/>
          <w:szCs w:val="24"/>
        </w:rPr>
      </w:pPr>
      <w:r>
        <w:rPr>
          <w:rFonts w:cs="Arial"/>
          <w:szCs w:val="24"/>
          <w:lang w:eastAsia="en-GB"/>
        </w:rPr>
        <w:t>i</w:t>
      </w:r>
      <w:r w:rsidR="00526494" w:rsidRPr="00526494">
        <w:rPr>
          <w:rFonts w:cs="Arial"/>
          <w:szCs w:val="24"/>
          <w:lang w:eastAsia="en-GB"/>
        </w:rPr>
        <w:t>f considered related, record as an Adverse Device Effect</w:t>
      </w:r>
      <w:r>
        <w:rPr>
          <w:rFonts w:cs="Arial"/>
          <w:szCs w:val="24"/>
          <w:lang w:eastAsia="en-GB"/>
        </w:rPr>
        <w:t>,</w:t>
      </w:r>
    </w:p>
    <w:p w14:paraId="1BE06DB8" w14:textId="77777777" w:rsidR="00526494" w:rsidRPr="006A15B6" w:rsidRDefault="00583039" w:rsidP="00583039">
      <w:pPr>
        <w:pStyle w:val="NoSpacing"/>
        <w:numPr>
          <w:ilvl w:val="0"/>
          <w:numId w:val="10"/>
        </w:numPr>
        <w:ind w:left="1985" w:hanging="284"/>
        <w:rPr>
          <w:rFonts w:eastAsia="Arial Unicode MS" w:cs="Arial"/>
          <w:szCs w:val="24"/>
        </w:rPr>
      </w:pPr>
      <w:r>
        <w:rPr>
          <w:rFonts w:eastAsia="Arial Unicode MS" w:cs="Arial"/>
          <w:szCs w:val="24"/>
        </w:rPr>
        <w:t>a</w:t>
      </w:r>
      <w:r w:rsidR="00526494">
        <w:rPr>
          <w:rFonts w:eastAsia="Arial Unicode MS" w:cs="Arial"/>
          <w:szCs w:val="24"/>
        </w:rPr>
        <w:t>ny treatment/</w:t>
      </w:r>
      <w:r w:rsidR="00526494" w:rsidRPr="006A15B6">
        <w:rPr>
          <w:rFonts w:eastAsia="Arial Unicode MS" w:cs="Arial"/>
          <w:szCs w:val="24"/>
        </w:rPr>
        <w:t>medication given for the event, including dates</w:t>
      </w:r>
      <w:r>
        <w:rPr>
          <w:rFonts w:eastAsia="Arial Unicode MS" w:cs="Arial"/>
          <w:szCs w:val="24"/>
        </w:rPr>
        <w:t>, and</w:t>
      </w:r>
    </w:p>
    <w:p w14:paraId="0BDDF893" w14:textId="77777777" w:rsidR="00526494" w:rsidRPr="006A15B6" w:rsidRDefault="00583039" w:rsidP="00583039">
      <w:pPr>
        <w:pStyle w:val="NoSpacing"/>
        <w:numPr>
          <w:ilvl w:val="0"/>
          <w:numId w:val="10"/>
        </w:numPr>
        <w:ind w:left="1985" w:hanging="284"/>
        <w:rPr>
          <w:rFonts w:eastAsia="Arial Unicode MS" w:cs="Arial"/>
          <w:szCs w:val="24"/>
        </w:rPr>
      </w:pPr>
      <w:r>
        <w:rPr>
          <w:rFonts w:eastAsia="Arial Unicode MS" w:cs="Arial"/>
          <w:szCs w:val="24"/>
        </w:rPr>
        <w:t>t</w:t>
      </w:r>
      <w:r w:rsidR="00526494" w:rsidRPr="006A15B6">
        <w:rPr>
          <w:rFonts w:eastAsia="Arial Unicode MS" w:cs="Arial"/>
          <w:szCs w:val="24"/>
        </w:rPr>
        <w:t>he outcome of the event</w:t>
      </w:r>
      <w:r>
        <w:rPr>
          <w:rFonts w:eastAsia="Arial Unicode MS" w:cs="Arial"/>
          <w:szCs w:val="24"/>
        </w:rPr>
        <w:t>.</w:t>
      </w:r>
    </w:p>
    <w:p w14:paraId="5D95D2E0" w14:textId="77777777" w:rsidR="00526494" w:rsidRPr="006A15B6" w:rsidRDefault="00526494" w:rsidP="000E2916">
      <w:pPr>
        <w:pStyle w:val="NoSpacing"/>
        <w:tabs>
          <w:tab w:val="left" w:pos="426"/>
        </w:tabs>
        <w:ind w:left="1701" w:hanging="850"/>
        <w:rPr>
          <w:rFonts w:eastAsia="Arial Unicode MS" w:cs="Arial"/>
          <w:szCs w:val="24"/>
        </w:rPr>
      </w:pPr>
    </w:p>
    <w:p w14:paraId="57C7D369" w14:textId="77777777" w:rsidR="00526494" w:rsidRPr="006A15B6" w:rsidRDefault="00526494" w:rsidP="000E2916">
      <w:pPr>
        <w:spacing w:after="240"/>
        <w:ind w:left="1701" w:hanging="850"/>
        <w:rPr>
          <w:rFonts w:cs="Arial"/>
          <w:szCs w:val="24"/>
        </w:rPr>
      </w:pPr>
      <w:r>
        <w:rPr>
          <w:rFonts w:eastAsia="Arial Unicode MS" w:cs="Arial"/>
          <w:b/>
          <w:color w:val="000000"/>
          <w:szCs w:val="24"/>
        </w:rPr>
        <w:t>5.1.3</w:t>
      </w:r>
      <w:r>
        <w:rPr>
          <w:rFonts w:eastAsia="Arial Unicode MS" w:cs="Arial"/>
          <w:b/>
          <w:color w:val="000000"/>
          <w:szCs w:val="24"/>
        </w:rPr>
        <w:tab/>
      </w:r>
      <w:r w:rsidRPr="00526494">
        <w:rPr>
          <w:rFonts w:eastAsia="Arial Unicode MS" w:cs="Arial"/>
          <w:color w:val="000000"/>
          <w:szCs w:val="24"/>
        </w:rPr>
        <w:t>Complete the Adverse Event page in the Case Report Form (CRF).</w:t>
      </w:r>
      <w:r w:rsidRPr="006A15B6">
        <w:rPr>
          <w:rFonts w:eastAsia="Arial Unicode MS" w:cs="Arial"/>
          <w:color w:val="000000"/>
          <w:szCs w:val="24"/>
        </w:rPr>
        <w:t xml:space="preserve">  A standard Trust </w:t>
      </w:r>
      <w:r w:rsidR="00884460">
        <w:rPr>
          <w:rFonts w:eastAsia="Arial Unicode MS" w:cs="Arial"/>
          <w:color w:val="000000"/>
          <w:szCs w:val="24"/>
        </w:rPr>
        <w:t xml:space="preserve">Device </w:t>
      </w:r>
      <w:r w:rsidRPr="006A15B6">
        <w:rPr>
          <w:rFonts w:eastAsia="Arial Unicode MS" w:cs="Arial"/>
          <w:color w:val="000000"/>
          <w:szCs w:val="24"/>
        </w:rPr>
        <w:t xml:space="preserve">AE reporting form </w:t>
      </w:r>
      <w:r w:rsidR="000E2916">
        <w:rPr>
          <w:rFonts w:eastAsia="Arial Unicode MS" w:cs="Arial"/>
          <w:color w:val="000000"/>
          <w:szCs w:val="24"/>
        </w:rPr>
        <w:t>is</w:t>
      </w:r>
      <w:r w:rsidRPr="006A15B6">
        <w:rPr>
          <w:rFonts w:eastAsia="Arial Unicode MS" w:cs="Arial"/>
          <w:color w:val="000000"/>
          <w:szCs w:val="24"/>
        </w:rPr>
        <w:t xml:space="preserve"> provided and should be used to record events.</w:t>
      </w:r>
      <w:r w:rsidR="003651E5">
        <w:rPr>
          <w:rFonts w:eastAsia="Arial Unicode MS" w:cs="Arial"/>
          <w:color w:val="000000"/>
          <w:szCs w:val="24"/>
        </w:rPr>
        <w:t xml:space="preserve"> Completing this form includes the requirement to assess the relatedness and expectedness of the event.</w:t>
      </w:r>
    </w:p>
    <w:p w14:paraId="28063C89" w14:textId="77777777" w:rsidR="00526494" w:rsidRPr="006A15B6" w:rsidRDefault="000E2916" w:rsidP="000E2916">
      <w:pPr>
        <w:tabs>
          <w:tab w:val="left" w:pos="1418"/>
        </w:tabs>
        <w:spacing w:after="240"/>
        <w:ind w:left="1701" w:hanging="850"/>
        <w:rPr>
          <w:rFonts w:cs="Arial"/>
          <w:szCs w:val="24"/>
        </w:rPr>
      </w:pPr>
      <w:r>
        <w:rPr>
          <w:rFonts w:eastAsia="Arial Unicode MS" w:cs="Arial"/>
          <w:b/>
          <w:color w:val="000000"/>
          <w:szCs w:val="24"/>
        </w:rPr>
        <w:t>5.1.4</w:t>
      </w:r>
      <w:r>
        <w:rPr>
          <w:rFonts w:eastAsia="Arial Unicode MS" w:cs="Arial"/>
          <w:b/>
          <w:color w:val="000000"/>
          <w:szCs w:val="24"/>
        </w:rPr>
        <w:tab/>
      </w:r>
      <w:r>
        <w:rPr>
          <w:rFonts w:eastAsia="Arial Unicode MS" w:cs="Arial"/>
          <w:b/>
          <w:color w:val="000000"/>
          <w:szCs w:val="24"/>
        </w:rPr>
        <w:tab/>
      </w:r>
      <w:r w:rsidR="00526494" w:rsidRPr="000E2916">
        <w:rPr>
          <w:rFonts w:eastAsia="Arial Unicode MS" w:cs="Arial"/>
          <w:color w:val="000000"/>
          <w:szCs w:val="24"/>
        </w:rPr>
        <w:t>Enter the AE</w:t>
      </w:r>
      <w:r w:rsidR="00884460">
        <w:rPr>
          <w:rFonts w:eastAsia="Arial Unicode MS" w:cs="Arial"/>
          <w:color w:val="000000"/>
          <w:szCs w:val="24"/>
        </w:rPr>
        <w:t>/ADE/UADE</w:t>
      </w:r>
      <w:r w:rsidR="00526494" w:rsidRPr="000E2916">
        <w:rPr>
          <w:rFonts w:eastAsia="Arial Unicode MS" w:cs="Arial"/>
          <w:color w:val="000000"/>
          <w:szCs w:val="24"/>
        </w:rPr>
        <w:t xml:space="preserve"> into the trial adverse event spreadsheet or adverse event log.</w:t>
      </w:r>
      <w:r w:rsidR="00526494" w:rsidRPr="006A15B6">
        <w:rPr>
          <w:rFonts w:eastAsia="Arial Unicode MS" w:cs="Arial"/>
          <w:color w:val="000000"/>
          <w:szCs w:val="24"/>
        </w:rPr>
        <w:t xml:space="preserve">  This should be made available for </w:t>
      </w:r>
      <w:r w:rsidR="00A53E13">
        <w:rPr>
          <w:rFonts w:eastAsia="Arial Unicode MS" w:cs="Arial"/>
          <w:color w:val="000000"/>
          <w:szCs w:val="24"/>
        </w:rPr>
        <w:t xml:space="preserve">the </w:t>
      </w:r>
      <w:r w:rsidR="00526494" w:rsidRPr="006A15B6">
        <w:rPr>
          <w:rFonts w:eastAsia="Arial Unicode MS" w:cs="Arial"/>
          <w:color w:val="000000"/>
          <w:szCs w:val="24"/>
        </w:rPr>
        <w:t>Data Monitoring Committee (DMC)</w:t>
      </w:r>
      <w:r w:rsidR="00A53E13">
        <w:rPr>
          <w:rFonts w:eastAsia="Arial Unicode MS" w:cs="Arial"/>
          <w:color w:val="000000"/>
          <w:szCs w:val="24"/>
        </w:rPr>
        <w:t xml:space="preserve"> where in place</w:t>
      </w:r>
      <w:r w:rsidR="00526494" w:rsidRPr="006A15B6">
        <w:rPr>
          <w:rFonts w:eastAsia="Arial Unicode MS" w:cs="Arial"/>
          <w:color w:val="000000"/>
          <w:szCs w:val="24"/>
        </w:rPr>
        <w:t>, Trial Steering Committee (TSC) and Sponsorship and Governance Oversight Committee (SAGO) review.</w:t>
      </w:r>
      <w:r w:rsidR="00A06C19">
        <w:rPr>
          <w:rFonts w:eastAsia="Arial Unicode MS" w:cs="Arial"/>
          <w:color w:val="000000"/>
          <w:szCs w:val="24"/>
        </w:rPr>
        <w:t xml:space="preserve"> A device-specific AE log is available from the Research Office.</w:t>
      </w:r>
    </w:p>
    <w:p w14:paraId="124D21FF" w14:textId="77777777" w:rsidR="00526494" w:rsidRDefault="000E2916" w:rsidP="000E2916">
      <w:pPr>
        <w:tabs>
          <w:tab w:val="left" w:pos="1418"/>
        </w:tabs>
        <w:spacing w:after="240"/>
        <w:ind w:left="1701" w:hanging="850"/>
        <w:rPr>
          <w:rFonts w:eastAsia="Arial Unicode MS" w:cs="Arial"/>
          <w:color w:val="000000"/>
          <w:szCs w:val="24"/>
        </w:rPr>
      </w:pPr>
      <w:r>
        <w:rPr>
          <w:rFonts w:eastAsia="Arial Unicode MS" w:cs="Arial"/>
          <w:b/>
          <w:color w:val="000000"/>
          <w:szCs w:val="24"/>
        </w:rPr>
        <w:t>5.1.6</w:t>
      </w:r>
      <w:r>
        <w:rPr>
          <w:rFonts w:eastAsia="Arial Unicode MS" w:cs="Arial"/>
          <w:b/>
          <w:color w:val="000000"/>
          <w:szCs w:val="24"/>
        </w:rPr>
        <w:tab/>
      </w:r>
      <w:r>
        <w:rPr>
          <w:rFonts w:eastAsia="Arial Unicode MS" w:cs="Arial"/>
          <w:b/>
          <w:color w:val="000000"/>
          <w:szCs w:val="24"/>
        </w:rPr>
        <w:tab/>
      </w:r>
      <w:r w:rsidR="00526494" w:rsidRPr="006A15B6">
        <w:rPr>
          <w:rFonts w:eastAsia="Arial Unicode MS" w:cs="Arial"/>
          <w:color w:val="000000"/>
          <w:szCs w:val="24"/>
        </w:rPr>
        <w:t>Take any other action as specified by the protocol.  For example, some AEs</w:t>
      </w:r>
      <w:r w:rsidR="00884460">
        <w:rPr>
          <w:rFonts w:eastAsia="Arial Unicode MS" w:cs="Arial"/>
          <w:color w:val="000000"/>
          <w:szCs w:val="24"/>
        </w:rPr>
        <w:t>/ADEs</w:t>
      </w:r>
      <w:r w:rsidR="00526494" w:rsidRPr="006A15B6">
        <w:rPr>
          <w:rFonts w:eastAsia="Arial Unicode MS" w:cs="Arial"/>
          <w:color w:val="000000"/>
          <w:szCs w:val="24"/>
        </w:rPr>
        <w:t xml:space="preserve"> may be identified in the protocol as being of special interest - critical to evaluating the safety of the </w:t>
      </w:r>
      <w:r>
        <w:rPr>
          <w:rFonts w:eastAsia="Arial Unicode MS" w:cs="Arial"/>
          <w:color w:val="000000"/>
          <w:szCs w:val="24"/>
        </w:rPr>
        <w:t>investigational device</w:t>
      </w:r>
      <w:r w:rsidR="00526494" w:rsidRPr="006A15B6">
        <w:rPr>
          <w:rFonts w:eastAsia="Arial Unicode MS" w:cs="Arial"/>
          <w:color w:val="000000"/>
          <w:szCs w:val="24"/>
        </w:rPr>
        <w:t xml:space="preserve"> - and will have specific reporting requirements.</w:t>
      </w:r>
      <w:r w:rsidR="00077C6C" w:rsidRPr="00077C6C">
        <w:rPr>
          <w:rFonts w:eastAsia="Arial Unicode MS" w:cs="Arial"/>
          <w:color w:val="000000"/>
          <w:szCs w:val="24"/>
        </w:rPr>
        <w:t xml:space="preserve"> </w:t>
      </w:r>
      <w:r w:rsidR="00077C6C">
        <w:rPr>
          <w:rFonts w:eastAsia="Arial Unicode MS" w:cs="Arial"/>
          <w:color w:val="000000"/>
          <w:szCs w:val="24"/>
        </w:rPr>
        <w:t>For UADEs, c</w:t>
      </w:r>
      <w:r w:rsidR="00077C6C" w:rsidRPr="006A15B6">
        <w:rPr>
          <w:rFonts w:eastAsia="Arial Unicode MS" w:cs="Arial"/>
          <w:color w:val="000000"/>
          <w:szCs w:val="24"/>
        </w:rPr>
        <w:t xml:space="preserve">onsider whether the </w:t>
      </w:r>
      <w:r w:rsidR="00077C6C">
        <w:rPr>
          <w:rFonts w:eastAsia="Arial Unicode MS" w:cs="Arial"/>
          <w:color w:val="000000"/>
          <w:szCs w:val="24"/>
        </w:rPr>
        <w:t>effect</w:t>
      </w:r>
      <w:r w:rsidR="00077C6C" w:rsidRPr="006A15B6">
        <w:rPr>
          <w:rFonts w:eastAsia="Arial Unicode MS" w:cs="Arial"/>
          <w:color w:val="000000"/>
          <w:szCs w:val="24"/>
        </w:rPr>
        <w:t xml:space="preserve"> merits a change to the trial protocol, treatment regimen or risk-benefit analysis.</w:t>
      </w:r>
    </w:p>
    <w:p w14:paraId="341DFF64" w14:textId="77777777" w:rsidR="00884460" w:rsidRPr="00884460" w:rsidRDefault="00884460" w:rsidP="000E2916">
      <w:pPr>
        <w:tabs>
          <w:tab w:val="left" w:pos="1418"/>
        </w:tabs>
        <w:spacing w:after="240"/>
        <w:ind w:left="1701" w:hanging="850"/>
        <w:rPr>
          <w:rFonts w:cs="Arial"/>
          <w:szCs w:val="24"/>
        </w:rPr>
      </w:pPr>
      <w:r>
        <w:rPr>
          <w:rFonts w:eastAsia="Arial Unicode MS" w:cs="Arial"/>
          <w:b/>
          <w:color w:val="000000"/>
          <w:szCs w:val="24"/>
        </w:rPr>
        <w:t>5.1.7</w:t>
      </w:r>
      <w:r>
        <w:rPr>
          <w:rFonts w:eastAsia="Arial Unicode MS" w:cs="Arial"/>
          <w:b/>
          <w:color w:val="000000"/>
          <w:szCs w:val="24"/>
        </w:rPr>
        <w:tab/>
      </w:r>
      <w:r>
        <w:rPr>
          <w:rFonts w:eastAsia="Arial Unicode MS" w:cs="Arial"/>
          <w:b/>
          <w:color w:val="000000"/>
          <w:szCs w:val="24"/>
        </w:rPr>
        <w:tab/>
      </w:r>
      <w:r w:rsidRPr="000E2916">
        <w:rPr>
          <w:rFonts w:eastAsia="Arial Unicode MS" w:cs="Arial"/>
          <w:color w:val="000000"/>
          <w:szCs w:val="24"/>
        </w:rPr>
        <w:t>If a trend appears to be developing</w:t>
      </w:r>
      <w:r>
        <w:rPr>
          <w:rFonts w:eastAsia="Arial Unicode MS" w:cs="Arial"/>
          <w:color w:val="000000"/>
          <w:szCs w:val="24"/>
        </w:rPr>
        <w:t xml:space="preserve"> for ADEs/UADEs</w:t>
      </w:r>
      <w:r w:rsidRPr="000E2916">
        <w:rPr>
          <w:rFonts w:eastAsia="Arial Unicode MS" w:cs="Arial"/>
          <w:color w:val="000000"/>
          <w:szCs w:val="24"/>
        </w:rPr>
        <w:t>, inform the DMC, TSC and SAGO.</w:t>
      </w:r>
    </w:p>
    <w:p w14:paraId="7DDB6B4D" w14:textId="77777777" w:rsidR="00077C6C" w:rsidRDefault="000E2916" w:rsidP="000E2916">
      <w:pPr>
        <w:tabs>
          <w:tab w:val="left" w:pos="1418"/>
        </w:tabs>
        <w:ind w:left="1701" w:hanging="850"/>
        <w:rPr>
          <w:rFonts w:eastAsia="Arial Unicode MS" w:cs="Arial"/>
          <w:color w:val="000000"/>
          <w:szCs w:val="24"/>
        </w:rPr>
      </w:pPr>
      <w:r>
        <w:rPr>
          <w:rFonts w:eastAsia="Arial Unicode MS" w:cs="Arial"/>
          <w:b/>
          <w:color w:val="000000"/>
          <w:szCs w:val="24"/>
        </w:rPr>
        <w:t>5.1.</w:t>
      </w:r>
      <w:r w:rsidR="00884460">
        <w:rPr>
          <w:rFonts w:eastAsia="Arial Unicode MS" w:cs="Arial"/>
          <w:b/>
          <w:color w:val="000000"/>
          <w:szCs w:val="24"/>
        </w:rPr>
        <w:t>8</w:t>
      </w:r>
      <w:r>
        <w:rPr>
          <w:rFonts w:eastAsia="Arial Unicode MS" w:cs="Arial"/>
          <w:b/>
          <w:color w:val="000000"/>
          <w:szCs w:val="24"/>
        </w:rPr>
        <w:tab/>
      </w:r>
      <w:r>
        <w:rPr>
          <w:rFonts w:eastAsia="Arial Unicode MS" w:cs="Arial"/>
          <w:b/>
          <w:color w:val="000000"/>
          <w:szCs w:val="24"/>
        </w:rPr>
        <w:tab/>
      </w:r>
      <w:r w:rsidR="00526494" w:rsidRPr="006A15B6">
        <w:rPr>
          <w:rFonts w:eastAsia="Arial Unicode MS" w:cs="Arial"/>
          <w:color w:val="000000"/>
          <w:szCs w:val="24"/>
        </w:rPr>
        <w:t>Follow up any ongoing AEs</w:t>
      </w:r>
      <w:r w:rsidR="00884460">
        <w:rPr>
          <w:rFonts w:eastAsia="Arial Unicode MS" w:cs="Arial"/>
          <w:color w:val="000000"/>
          <w:szCs w:val="24"/>
        </w:rPr>
        <w:t>/ADEs/UADEs</w:t>
      </w:r>
      <w:r w:rsidR="00526494" w:rsidRPr="006A15B6">
        <w:rPr>
          <w:rFonts w:eastAsia="Arial Unicode MS" w:cs="Arial"/>
          <w:color w:val="000000"/>
          <w:szCs w:val="24"/>
        </w:rPr>
        <w:t xml:space="preserve">, documenting as in </w:t>
      </w:r>
      <w:r>
        <w:rPr>
          <w:rFonts w:eastAsia="Arial Unicode MS" w:cs="Arial"/>
          <w:color w:val="000000"/>
          <w:szCs w:val="24"/>
        </w:rPr>
        <w:t>5</w:t>
      </w:r>
      <w:r w:rsidR="00526494" w:rsidRPr="006A15B6">
        <w:rPr>
          <w:rFonts w:eastAsia="Arial Unicode MS" w:cs="Arial"/>
          <w:color w:val="000000"/>
          <w:szCs w:val="24"/>
        </w:rPr>
        <w:t>.1.2 at each study visit until resolved, returned to baseline, or other outcomes as otherwise specified in the protocol.  AEs</w:t>
      </w:r>
      <w:r w:rsidR="00884460">
        <w:rPr>
          <w:rFonts w:eastAsia="Arial Unicode MS" w:cs="Arial"/>
          <w:color w:val="000000"/>
          <w:szCs w:val="24"/>
        </w:rPr>
        <w:t>/ADEs/UADEs</w:t>
      </w:r>
      <w:r w:rsidR="00526494" w:rsidRPr="006A15B6">
        <w:rPr>
          <w:rFonts w:eastAsia="Arial Unicode MS" w:cs="Arial"/>
          <w:color w:val="000000"/>
          <w:szCs w:val="24"/>
        </w:rPr>
        <w:t xml:space="preserve"> that are ongoing on completion of the </w:t>
      </w:r>
      <w:r>
        <w:rPr>
          <w:rFonts w:eastAsia="Arial Unicode MS" w:cs="Arial"/>
          <w:color w:val="000000"/>
          <w:szCs w:val="24"/>
        </w:rPr>
        <w:t>trial</w:t>
      </w:r>
      <w:r w:rsidR="00526494" w:rsidRPr="006A15B6">
        <w:rPr>
          <w:rFonts w:eastAsia="Arial Unicode MS" w:cs="Arial"/>
          <w:color w:val="000000"/>
          <w:szCs w:val="24"/>
        </w:rPr>
        <w:t xml:space="preserve"> should be followed up as required by the protocol and as clinically indicated. </w:t>
      </w:r>
    </w:p>
    <w:p w14:paraId="65B07037" w14:textId="77777777" w:rsidR="00077C6C" w:rsidRDefault="00077C6C" w:rsidP="000E2916">
      <w:pPr>
        <w:tabs>
          <w:tab w:val="left" w:pos="1418"/>
        </w:tabs>
        <w:ind w:left="1701" w:hanging="850"/>
        <w:rPr>
          <w:rFonts w:eastAsia="Arial Unicode MS" w:cs="Arial"/>
          <w:color w:val="000000"/>
          <w:szCs w:val="24"/>
          <w:highlight w:val="yellow"/>
        </w:rPr>
      </w:pPr>
    </w:p>
    <w:p w14:paraId="3CCDE8F0" w14:textId="77777777" w:rsidR="00383257" w:rsidRDefault="00077C6C" w:rsidP="000E2916">
      <w:pPr>
        <w:tabs>
          <w:tab w:val="left" w:pos="1418"/>
        </w:tabs>
        <w:ind w:left="1701" w:hanging="850"/>
        <w:rPr>
          <w:rFonts w:eastAsia="Arial Unicode MS" w:cs="Arial"/>
          <w:color w:val="000000"/>
          <w:szCs w:val="24"/>
        </w:rPr>
      </w:pPr>
      <w:r w:rsidRPr="00583039">
        <w:rPr>
          <w:rFonts w:eastAsia="Arial Unicode MS" w:cs="Arial"/>
          <w:b/>
          <w:color w:val="000000"/>
          <w:szCs w:val="24"/>
        </w:rPr>
        <w:t>5.1.9</w:t>
      </w:r>
      <w:r w:rsidRPr="00583039">
        <w:rPr>
          <w:rFonts w:eastAsia="Arial Unicode MS" w:cs="Arial"/>
          <w:b/>
          <w:color w:val="000000"/>
          <w:szCs w:val="24"/>
        </w:rPr>
        <w:tab/>
      </w:r>
      <w:r w:rsidRPr="00583039">
        <w:rPr>
          <w:rFonts w:eastAsia="Arial Unicode MS" w:cs="Arial"/>
          <w:color w:val="000000"/>
          <w:szCs w:val="24"/>
        </w:rPr>
        <w:tab/>
      </w:r>
      <w:r w:rsidR="00526494" w:rsidRPr="00583039">
        <w:rPr>
          <w:rFonts w:eastAsia="Arial Unicode MS" w:cs="Arial"/>
          <w:color w:val="000000"/>
          <w:szCs w:val="24"/>
        </w:rPr>
        <w:t>AEs</w:t>
      </w:r>
      <w:r w:rsidR="00583039">
        <w:rPr>
          <w:rFonts w:eastAsia="Arial Unicode MS" w:cs="Arial"/>
          <w:color w:val="000000"/>
          <w:szCs w:val="24"/>
        </w:rPr>
        <w:t>/ADEs or UADEs</w:t>
      </w:r>
      <w:r w:rsidR="00526494" w:rsidRPr="00583039">
        <w:rPr>
          <w:rFonts w:eastAsia="Arial Unicode MS" w:cs="Arial"/>
          <w:color w:val="000000"/>
          <w:szCs w:val="24"/>
        </w:rPr>
        <w:t xml:space="preserve"> that result in the subject withdrawing - or being withdrawn - from the study must be recorded for inclusion in the annual progress report submitted to the REC.</w:t>
      </w:r>
    </w:p>
    <w:p w14:paraId="426E1BCD" w14:textId="77777777" w:rsidR="00383257" w:rsidRDefault="00383257" w:rsidP="00077C6C">
      <w:pPr>
        <w:rPr>
          <w:rFonts w:eastAsia="Arial Unicode MS"/>
          <w:b/>
        </w:rPr>
      </w:pPr>
    </w:p>
    <w:p w14:paraId="152D4E6F" w14:textId="77777777" w:rsidR="00383257" w:rsidRDefault="00383257" w:rsidP="00A06C19">
      <w:pPr>
        <w:ind w:left="1418" w:hanging="992"/>
        <w:rPr>
          <w:rFonts w:eastAsia="Arial Unicode MS"/>
          <w:b/>
        </w:rPr>
      </w:pPr>
      <w:r>
        <w:rPr>
          <w:rFonts w:eastAsia="Arial Unicode MS"/>
          <w:b/>
        </w:rPr>
        <w:t>5.</w:t>
      </w:r>
      <w:r w:rsidR="00077C6C">
        <w:rPr>
          <w:rFonts w:eastAsia="Arial Unicode MS"/>
          <w:b/>
        </w:rPr>
        <w:t>2</w:t>
      </w:r>
      <w:r>
        <w:rPr>
          <w:rFonts w:eastAsia="Arial Unicode MS"/>
          <w:b/>
        </w:rPr>
        <w:tab/>
        <w:t>Serious Adverse Event (SAE)</w:t>
      </w:r>
      <w:r w:rsidR="004E68FF">
        <w:rPr>
          <w:rFonts w:eastAsia="Arial Unicode MS"/>
          <w:b/>
        </w:rPr>
        <w:t xml:space="preserve"> and Serious Adverse Device Effect</w:t>
      </w:r>
      <w:r w:rsidR="00A06C19">
        <w:rPr>
          <w:rFonts w:eastAsia="Arial Unicode MS"/>
          <w:b/>
        </w:rPr>
        <w:t xml:space="preserve"> (SADE)</w:t>
      </w:r>
    </w:p>
    <w:p w14:paraId="0626AC54" w14:textId="77777777" w:rsidR="00077C6C" w:rsidRDefault="00077C6C" w:rsidP="00383257">
      <w:pPr>
        <w:ind w:left="426"/>
        <w:rPr>
          <w:rFonts w:eastAsia="Arial Unicode MS"/>
          <w:b/>
        </w:rPr>
      </w:pPr>
    </w:p>
    <w:p w14:paraId="14ADC83E" w14:textId="77777777" w:rsidR="00077C6C" w:rsidRPr="00526494" w:rsidRDefault="00077C6C" w:rsidP="00077C6C">
      <w:pPr>
        <w:spacing w:after="240"/>
        <w:ind w:left="1701" w:hanging="850"/>
        <w:rPr>
          <w:rFonts w:eastAsia="Arial Unicode MS" w:cs="Arial"/>
          <w:b/>
          <w:color w:val="000000"/>
          <w:szCs w:val="24"/>
          <w:u w:val="single"/>
        </w:rPr>
      </w:pPr>
      <w:r w:rsidRPr="00526494">
        <w:rPr>
          <w:rFonts w:eastAsia="Arial Unicode MS" w:cs="Arial"/>
          <w:b/>
          <w:color w:val="000000"/>
          <w:szCs w:val="24"/>
        </w:rPr>
        <w:t>5.</w:t>
      </w:r>
      <w:r>
        <w:rPr>
          <w:rFonts w:eastAsia="Arial Unicode MS" w:cs="Arial"/>
          <w:b/>
          <w:color w:val="000000"/>
          <w:szCs w:val="24"/>
        </w:rPr>
        <w:t>2</w:t>
      </w:r>
      <w:r w:rsidRPr="00526494">
        <w:rPr>
          <w:rFonts w:eastAsia="Arial Unicode MS" w:cs="Arial"/>
          <w:b/>
          <w:color w:val="000000"/>
          <w:szCs w:val="24"/>
        </w:rPr>
        <w:t>.1</w:t>
      </w:r>
      <w:r>
        <w:rPr>
          <w:rFonts w:eastAsia="Arial Unicode MS" w:cs="Arial"/>
          <w:color w:val="000000"/>
          <w:szCs w:val="24"/>
        </w:rPr>
        <w:tab/>
      </w:r>
      <w:r w:rsidRPr="00526494">
        <w:rPr>
          <w:rFonts w:eastAsia="Arial Unicode MS" w:cs="Arial"/>
          <w:color w:val="000000"/>
          <w:szCs w:val="24"/>
        </w:rPr>
        <w:t xml:space="preserve">Check whether the </w:t>
      </w:r>
      <w:r>
        <w:rPr>
          <w:rFonts w:eastAsia="Arial Unicode MS" w:cs="Arial"/>
          <w:color w:val="000000"/>
          <w:szCs w:val="24"/>
        </w:rPr>
        <w:t>SAE</w:t>
      </w:r>
      <w:r w:rsidR="004E68FF">
        <w:rPr>
          <w:rFonts w:eastAsia="Arial Unicode MS" w:cs="Arial"/>
          <w:color w:val="000000"/>
          <w:szCs w:val="24"/>
        </w:rPr>
        <w:t>/SADE</w:t>
      </w:r>
      <w:r w:rsidRPr="00526494">
        <w:rPr>
          <w:rFonts w:eastAsia="Arial Unicode MS" w:cs="Arial"/>
          <w:color w:val="000000"/>
          <w:szCs w:val="24"/>
        </w:rPr>
        <w:t xml:space="preserve"> is classified in the protocol as being exempt from reporting.  For exempted events, take action as specified in the protocol.  If not exempt, proceed as </w:t>
      </w:r>
      <w:r>
        <w:rPr>
          <w:rFonts w:eastAsia="Arial Unicode MS" w:cs="Arial"/>
          <w:color w:val="000000"/>
          <w:szCs w:val="24"/>
        </w:rPr>
        <w:t>follows:</w:t>
      </w:r>
    </w:p>
    <w:p w14:paraId="69E7AF10" w14:textId="77777777" w:rsidR="00077C6C" w:rsidRPr="00526494" w:rsidRDefault="00077C6C" w:rsidP="008F6A64">
      <w:pPr>
        <w:pStyle w:val="NoSpacing"/>
        <w:ind w:left="1701" w:hanging="850"/>
      </w:pPr>
      <w:r w:rsidRPr="00526494">
        <w:rPr>
          <w:rFonts w:eastAsia="Arial Unicode MS"/>
          <w:b/>
        </w:rPr>
        <w:lastRenderedPageBreak/>
        <w:t>5.</w:t>
      </w:r>
      <w:r>
        <w:rPr>
          <w:rFonts w:eastAsia="Arial Unicode MS"/>
          <w:b/>
        </w:rPr>
        <w:t>2</w:t>
      </w:r>
      <w:r w:rsidRPr="00526494">
        <w:rPr>
          <w:rFonts w:eastAsia="Arial Unicode MS"/>
          <w:b/>
        </w:rPr>
        <w:t>.2</w:t>
      </w:r>
      <w:r>
        <w:rPr>
          <w:rFonts w:eastAsia="Arial Unicode MS"/>
        </w:rPr>
        <w:tab/>
      </w:r>
      <w:r w:rsidRPr="00526494">
        <w:rPr>
          <w:rFonts w:eastAsia="Arial Unicode MS"/>
        </w:rPr>
        <w:t>Clearly document the following in the patient’s medical record:</w:t>
      </w:r>
    </w:p>
    <w:p w14:paraId="7833F005" w14:textId="77777777" w:rsidR="00077C6C" w:rsidRPr="00526494" w:rsidRDefault="00077C6C" w:rsidP="008C3BAE">
      <w:pPr>
        <w:pStyle w:val="NoSpacing"/>
        <w:numPr>
          <w:ilvl w:val="0"/>
          <w:numId w:val="10"/>
        </w:numPr>
        <w:ind w:left="2127" w:hanging="426"/>
        <w:rPr>
          <w:rFonts w:eastAsia="Arial Unicode MS" w:cs="Arial"/>
          <w:szCs w:val="24"/>
        </w:rPr>
      </w:pPr>
      <w:r w:rsidRPr="00526494">
        <w:rPr>
          <w:rFonts w:eastAsia="Arial Unicode MS" w:cs="Arial"/>
          <w:szCs w:val="24"/>
        </w:rPr>
        <w:t>The date</w:t>
      </w:r>
      <w:r w:rsidR="008C3BAE">
        <w:rPr>
          <w:rFonts w:eastAsia="Arial Unicode MS" w:cs="Arial"/>
          <w:szCs w:val="24"/>
        </w:rPr>
        <w:t xml:space="preserve"> (</w:t>
      </w:r>
      <w:r w:rsidRPr="00526494">
        <w:rPr>
          <w:rFonts w:eastAsia="Arial Unicode MS" w:cs="Arial"/>
          <w:szCs w:val="24"/>
        </w:rPr>
        <w:t>and if possible the time) of the onset of the event</w:t>
      </w:r>
      <w:r w:rsidR="008C3BAE">
        <w:rPr>
          <w:rFonts w:eastAsia="Arial Unicode MS" w:cs="Arial"/>
          <w:szCs w:val="24"/>
        </w:rPr>
        <w:t>,</w:t>
      </w:r>
    </w:p>
    <w:p w14:paraId="7B8BEFA4" w14:textId="77777777" w:rsidR="00077C6C" w:rsidRPr="00526494" w:rsidRDefault="008C3BAE" w:rsidP="008C3BAE">
      <w:pPr>
        <w:pStyle w:val="NoSpacing"/>
        <w:numPr>
          <w:ilvl w:val="0"/>
          <w:numId w:val="10"/>
        </w:numPr>
        <w:ind w:left="2127" w:hanging="426"/>
        <w:rPr>
          <w:rFonts w:eastAsia="Arial Unicode MS" w:cs="Arial"/>
          <w:szCs w:val="24"/>
        </w:rPr>
      </w:pPr>
      <w:r>
        <w:rPr>
          <w:rFonts w:eastAsia="Arial Unicode MS" w:cs="Arial"/>
          <w:szCs w:val="24"/>
        </w:rPr>
        <w:t>i</w:t>
      </w:r>
      <w:r w:rsidR="00077C6C" w:rsidRPr="00526494">
        <w:rPr>
          <w:rFonts w:eastAsia="Arial Unicode MS" w:cs="Arial"/>
          <w:szCs w:val="24"/>
        </w:rPr>
        <w:t>f completely reso</w:t>
      </w:r>
      <w:r w:rsidR="00775A79">
        <w:rPr>
          <w:rFonts w:eastAsia="Arial Unicode MS" w:cs="Arial"/>
          <w:szCs w:val="24"/>
        </w:rPr>
        <w:t>lved, the duration of the event/effect</w:t>
      </w:r>
      <w:r>
        <w:rPr>
          <w:rFonts w:eastAsia="Arial Unicode MS" w:cs="Arial"/>
          <w:szCs w:val="24"/>
        </w:rPr>
        <w:t>,</w:t>
      </w:r>
    </w:p>
    <w:p w14:paraId="42756249" w14:textId="77777777" w:rsidR="00077C6C" w:rsidRPr="00526494" w:rsidRDefault="008C3BAE" w:rsidP="008C3BAE">
      <w:pPr>
        <w:pStyle w:val="NoSpacing"/>
        <w:numPr>
          <w:ilvl w:val="0"/>
          <w:numId w:val="10"/>
        </w:numPr>
        <w:ind w:left="2127" w:hanging="426"/>
        <w:rPr>
          <w:rFonts w:eastAsia="Arial Unicode MS" w:cs="Arial"/>
          <w:szCs w:val="24"/>
        </w:rPr>
      </w:pPr>
      <w:r>
        <w:rPr>
          <w:rFonts w:eastAsia="Arial Unicode MS" w:cs="Arial"/>
          <w:szCs w:val="24"/>
        </w:rPr>
        <w:t>t</w:t>
      </w:r>
      <w:r w:rsidR="00077C6C" w:rsidRPr="00526494">
        <w:rPr>
          <w:rFonts w:eastAsia="Arial Unicode MS" w:cs="Arial"/>
          <w:szCs w:val="24"/>
        </w:rPr>
        <w:t>he severity of the event</w:t>
      </w:r>
      <w:r>
        <w:rPr>
          <w:rFonts w:eastAsia="Arial Unicode MS" w:cs="Arial"/>
          <w:szCs w:val="24"/>
        </w:rPr>
        <w:t>/effect as per section 4.7 of this SOP,</w:t>
      </w:r>
    </w:p>
    <w:p w14:paraId="2C48602A" w14:textId="77777777" w:rsidR="00077C6C" w:rsidRPr="00775A79" w:rsidRDefault="008C3BAE" w:rsidP="008C3BAE">
      <w:pPr>
        <w:pStyle w:val="NoSpacing"/>
        <w:numPr>
          <w:ilvl w:val="0"/>
          <w:numId w:val="10"/>
        </w:numPr>
        <w:ind w:left="2127" w:hanging="426"/>
        <w:rPr>
          <w:rFonts w:eastAsia="Arial Unicode MS" w:cs="Arial"/>
          <w:szCs w:val="24"/>
        </w:rPr>
      </w:pPr>
      <w:r>
        <w:rPr>
          <w:rFonts w:cs="Arial"/>
          <w:szCs w:val="24"/>
          <w:lang w:eastAsia="en-GB"/>
        </w:rPr>
        <w:t>w</w:t>
      </w:r>
      <w:r w:rsidR="00077C6C" w:rsidRPr="00526494">
        <w:rPr>
          <w:rFonts w:cs="Arial"/>
          <w:szCs w:val="24"/>
          <w:lang w:eastAsia="en-GB"/>
        </w:rPr>
        <w:t xml:space="preserve">hether the event is considered </w:t>
      </w:r>
      <w:r w:rsidR="00077C6C" w:rsidRPr="00526494">
        <w:rPr>
          <w:rFonts w:cs="Arial"/>
          <w:bCs/>
          <w:szCs w:val="24"/>
          <w:lang w:eastAsia="en-GB"/>
        </w:rPr>
        <w:t>related</w:t>
      </w:r>
      <w:r w:rsidR="00077C6C" w:rsidRPr="00526494">
        <w:rPr>
          <w:rFonts w:cs="Arial"/>
          <w:szCs w:val="24"/>
          <w:lang w:eastAsia="en-GB"/>
        </w:rPr>
        <w:t xml:space="preserve"> to the study </w:t>
      </w:r>
      <w:r w:rsidR="00077C6C">
        <w:rPr>
          <w:rFonts w:cs="Arial"/>
          <w:szCs w:val="24"/>
          <w:lang w:eastAsia="en-GB"/>
        </w:rPr>
        <w:t>device</w:t>
      </w:r>
      <w:r w:rsidR="00077C6C" w:rsidRPr="00526494">
        <w:rPr>
          <w:rFonts w:cs="Arial"/>
          <w:szCs w:val="24"/>
          <w:lang w:eastAsia="en-GB"/>
        </w:rPr>
        <w:t xml:space="preserve"> or not</w:t>
      </w:r>
      <w:r w:rsidR="00775A79">
        <w:rPr>
          <w:rFonts w:eastAsia="Arial Unicode MS" w:cs="Arial"/>
          <w:szCs w:val="24"/>
        </w:rPr>
        <w:t xml:space="preserve">. </w:t>
      </w:r>
      <w:r w:rsidR="00077C6C" w:rsidRPr="00775A79">
        <w:rPr>
          <w:rFonts w:cs="Arial"/>
          <w:szCs w:val="24"/>
          <w:lang w:eastAsia="en-GB"/>
        </w:rPr>
        <w:t xml:space="preserve">If considered related, record as a Serious Adverse Device Effect (or </w:t>
      </w:r>
      <w:r w:rsidR="00E46BF3">
        <w:rPr>
          <w:rFonts w:cs="Arial"/>
          <w:szCs w:val="24"/>
          <w:lang w:eastAsia="en-GB"/>
        </w:rPr>
        <w:t>Unanticipated</w:t>
      </w:r>
      <w:r w:rsidR="00077C6C" w:rsidRPr="00775A79">
        <w:rPr>
          <w:rFonts w:cs="Arial"/>
          <w:szCs w:val="24"/>
          <w:lang w:eastAsia="en-GB"/>
        </w:rPr>
        <w:t xml:space="preserve"> Serious Adverse Device Effect, depending on the expectedness assessment)</w:t>
      </w:r>
      <w:r>
        <w:rPr>
          <w:rFonts w:cs="Arial"/>
          <w:szCs w:val="24"/>
          <w:lang w:eastAsia="en-GB"/>
        </w:rPr>
        <w:t>,</w:t>
      </w:r>
    </w:p>
    <w:p w14:paraId="6F9DF655" w14:textId="77777777" w:rsidR="00775A79" w:rsidRPr="00526494" w:rsidRDefault="008C3BAE" w:rsidP="008C3BAE">
      <w:pPr>
        <w:pStyle w:val="NoSpacing"/>
        <w:numPr>
          <w:ilvl w:val="0"/>
          <w:numId w:val="10"/>
        </w:numPr>
        <w:ind w:left="2127" w:hanging="426"/>
        <w:rPr>
          <w:rFonts w:eastAsia="Arial Unicode MS" w:cs="Arial"/>
          <w:szCs w:val="24"/>
        </w:rPr>
      </w:pPr>
      <w:r>
        <w:rPr>
          <w:rFonts w:cs="Arial"/>
          <w:szCs w:val="24"/>
          <w:lang w:eastAsia="en-GB"/>
        </w:rPr>
        <w:t>w</w:t>
      </w:r>
      <w:r w:rsidR="00775A79">
        <w:rPr>
          <w:rFonts w:cs="Arial"/>
          <w:szCs w:val="24"/>
          <w:lang w:eastAsia="en-GB"/>
        </w:rPr>
        <w:t>hether the event is considered expected or not</w:t>
      </w:r>
      <w:r>
        <w:rPr>
          <w:rFonts w:cs="Arial"/>
          <w:szCs w:val="24"/>
          <w:lang w:eastAsia="en-GB"/>
        </w:rPr>
        <w:t>,</w:t>
      </w:r>
    </w:p>
    <w:p w14:paraId="1A001B3C" w14:textId="77777777" w:rsidR="00077C6C" w:rsidRPr="006A15B6" w:rsidRDefault="008C3BAE" w:rsidP="008C3BAE">
      <w:pPr>
        <w:pStyle w:val="NoSpacing"/>
        <w:numPr>
          <w:ilvl w:val="0"/>
          <w:numId w:val="10"/>
        </w:numPr>
        <w:ind w:left="2127" w:hanging="426"/>
        <w:rPr>
          <w:rFonts w:eastAsia="Arial Unicode MS" w:cs="Arial"/>
          <w:szCs w:val="24"/>
        </w:rPr>
      </w:pPr>
      <w:r>
        <w:rPr>
          <w:rFonts w:eastAsia="Arial Unicode MS" w:cs="Arial"/>
          <w:szCs w:val="24"/>
        </w:rPr>
        <w:t>a</w:t>
      </w:r>
      <w:r w:rsidR="00077C6C">
        <w:rPr>
          <w:rFonts w:eastAsia="Arial Unicode MS" w:cs="Arial"/>
          <w:szCs w:val="24"/>
        </w:rPr>
        <w:t>ny treatment/</w:t>
      </w:r>
      <w:r w:rsidR="00077C6C" w:rsidRPr="006A15B6">
        <w:rPr>
          <w:rFonts w:eastAsia="Arial Unicode MS" w:cs="Arial"/>
          <w:szCs w:val="24"/>
        </w:rPr>
        <w:t>medication given for the event</w:t>
      </w:r>
      <w:r w:rsidR="00775A79">
        <w:rPr>
          <w:rFonts w:eastAsia="Arial Unicode MS" w:cs="Arial"/>
          <w:szCs w:val="24"/>
        </w:rPr>
        <w:t>/effect</w:t>
      </w:r>
      <w:r w:rsidR="00077C6C" w:rsidRPr="006A15B6">
        <w:rPr>
          <w:rFonts w:eastAsia="Arial Unicode MS" w:cs="Arial"/>
          <w:szCs w:val="24"/>
        </w:rPr>
        <w:t>, including dates</w:t>
      </w:r>
      <w:r w:rsidR="00A06C19">
        <w:rPr>
          <w:rFonts w:eastAsia="Arial Unicode MS" w:cs="Arial"/>
          <w:szCs w:val="24"/>
        </w:rPr>
        <w:t>;</w:t>
      </w:r>
    </w:p>
    <w:p w14:paraId="1121861F" w14:textId="77777777" w:rsidR="00077C6C" w:rsidRPr="006A15B6" w:rsidRDefault="008C3BAE" w:rsidP="008C3BAE">
      <w:pPr>
        <w:pStyle w:val="NoSpacing"/>
        <w:numPr>
          <w:ilvl w:val="0"/>
          <w:numId w:val="10"/>
        </w:numPr>
        <w:ind w:left="2127" w:hanging="426"/>
        <w:rPr>
          <w:rFonts w:eastAsia="Arial Unicode MS" w:cs="Arial"/>
          <w:szCs w:val="24"/>
        </w:rPr>
      </w:pPr>
      <w:r>
        <w:rPr>
          <w:rFonts w:eastAsia="Arial Unicode MS" w:cs="Arial"/>
          <w:szCs w:val="24"/>
        </w:rPr>
        <w:t>t</w:t>
      </w:r>
      <w:r w:rsidR="00077C6C" w:rsidRPr="006A15B6">
        <w:rPr>
          <w:rFonts w:eastAsia="Arial Unicode MS" w:cs="Arial"/>
          <w:szCs w:val="24"/>
        </w:rPr>
        <w:t>he outcome of the event</w:t>
      </w:r>
      <w:r w:rsidR="00775A79">
        <w:rPr>
          <w:rFonts w:eastAsia="Arial Unicode MS" w:cs="Arial"/>
          <w:szCs w:val="24"/>
        </w:rPr>
        <w:t>/effect</w:t>
      </w:r>
      <w:r>
        <w:rPr>
          <w:rFonts w:eastAsia="Arial Unicode MS" w:cs="Arial"/>
          <w:szCs w:val="24"/>
        </w:rPr>
        <w:t>.</w:t>
      </w:r>
    </w:p>
    <w:p w14:paraId="4E230503" w14:textId="77777777" w:rsidR="00077C6C" w:rsidRPr="006A15B6" w:rsidRDefault="00077C6C" w:rsidP="00077C6C">
      <w:pPr>
        <w:pStyle w:val="NoSpacing"/>
        <w:tabs>
          <w:tab w:val="left" w:pos="426"/>
        </w:tabs>
        <w:ind w:left="1701" w:hanging="850"/>
        <w:rPr>
          <w:rFonts w:eastAsia="Arial Unicode MS" w:cs="Arial"/>
          <w:szCs w:val="24"/>
        </w:rPr>
      </w:pPr>
    </w:p>
    <w:p w14:paraId="3084354F" w14:textId="77777777" w:rsidR="00077C6C" w:rsidRPr="008F6A64" w:rsidRDefault="00077C6C" w:rsidP="000C2DE4">
      <w:pPr>
        <w:pStyle w:val="ListParagraph"/>
        <w:numPr>
          <w:ilvl w:val="2"/>
          <w:numId w:val="11"/>
        </w:numPr>
        <w:spacing w:after="240"/>
        <w:ind w:left="1701" w:hanging="850"/>
        <w:rPr>
          <w:rFonts w:ascii="Arial" w:hAnsi="Arial" w:cs="Arial"/>
          <w:sz w:val="24"/>
          <w:szCs w:val="24"/>
        </w:rPr>
      </w:pPr>
      <w:r w:rsidRPr="004E68FF">
        <w:rPr>
          <w:rFonts w:ascii="Arial" w:eastAsia="Arial Unicode MS" w:hAnsi="Arial" w:cs="Arial"/>
          <w:color w:val="000000"/>
          <w:sz w:val="24"/>
          <w:szCs w:val="24"/>
        </w:rPr>
        <w:t xml:space="preserve">Complete the Device SAE form as soon as possible after becoming aware of the event and send a scanned copy to the Trust’s sponsor office using the email address </w:t>
      </w:r>
      <w:hyperlink r:id="rId9" w:history="1">
        <w:r w:rsidRPr="004E68FF">
          <w:rPr>
            <w:rStyle w:val="Hyperlink"/>
            <w:rFonts w:ascii="Arial" w:eastAsia="Arial Unicode MS" w:hAnsi="Arial" w:cs="Arial"/>
            <w:sz w:val="24"/>
            <w:szCs w:val="24"/>
          </w:rPr>
          <w:t>adverse.events@mft.nhs.uk</w:t>
        </w:r>
      </w:hyperlink>
      <w:r w:rsidRPr="004E68FF">
        <w:rPr>
          <w:rFonts w:ascii="Arial" w:eastAsia="Arial Unicode MS" w:hAnsi="Arial" w:cs="Arial"/>
          <w:color w:val="000000"/>
          <w:sz w:val="24"/>
          <w:szCs w:val="24"/>
        </w:rPr>
        <w:t>.  SAEs</w:t>
      </w:r>
      <w:r w:rsidR="00775A79">
        <w:rPr>
          <w:rFonts w:ascii="Arial" w:eastAsia="Arial Unicode MS" w:hAnsi="Arial" w:cs="Arial"/>
          <w:color w:val="000000"/>
          <w:sz w:val="24"/>
          <w:szCs w:val="24"/>
        </w:rPr>
        <w:t>/SADEs</w:t>
      </w:r>
      <w:r w:rsidRPr="004E68FF">
        <w:rPr>
          <w:rFonts w:ascii="Arial" w:eastAsia="Arial Unicode MS" w:hAnsi="Arial" w:cs="Arial"/>
          <w:color w:val="000000"/>
          <w:sz w:val="24"/>
          <w:szCs w:val="24"/>
        </w:rPr>
        <w:t xml:space="preserve"> </w:t>
      </w:r>
      <w:r w:rsidRPr="004E68FF">
        <w:rPr>
          <w:rFonts w:ascii="Arial" w:eastAsia="Arial Unicode MS" w:hAnsi="Arial" w:cs="Arial"/>
          <w:b/>
          <w:color w:val="000000"/>
          <w:sz w:val="24"/>
          <w:szCs w:val="24"/>
        </w:rPr>
        <w:t>must</w:t>
      </w:r>
      <w:r w:rsidRPr="004E68FF">
        <w:rPr>
          <w:rFonts w:ascii="Arial" w:eastAsia="Arial Unicode MS" w:hAnsi="Arial" w:cs="Arial"/>
          <w:color w:val="000000"/>
          <w:sz w:val="24"/>
          <w:szCs w:val="24"/>
        </w:rPr>
        <w:t xml:space="preserve"> be reported to the sponsor office within 24 hours of the research team becoming aware of the event.  The Trust’s Device SAE report form is provided at the start of your trial</w:t>
      </w:r>
      <w:r w:rsidR="004E68FF" w:rsidRPr="004E68FF">
        <w:rPr>
          <w:rFonts w:ascii="Arial" w:eastAsia="Arial Unicode MS" w:hAnsi="Arial" w:cs="Arial"/>
          <w:color w:val="000000"/>
          <w:sz w:val="24"/>
          <w:szCs w:val="24"/>
        </w:rPr>
        <w:t>. T</w:t>
      </w:r>
      <w:r w:rsidRPr="004E68FF">
        <w:rPr>
          <w:rFonts w:ascii="Arial" w:eastAsia="Arial Unicode MS" w:hAnsi="Arial" w:cs="Arial"/>
          <w:color w:val="000000"/>
          <w:sz w:val="24"/>
          <w:szCs w:val="24"/>
        </w:rPr>
        <w:t xml:space="preserve">his must be used to record and report events to the sponsor. </w:t>
      </w:r>
      <w:r w:rsidR="003651E5" w:rsidRPr="003651E5">
        <w:rPr>
          <w:rFonts w:ascii="Arial" w:eastAsia="Arial Unicode MS" w:hAnsi="Arial" w:cs="Arial"/>
          <w:color w:val="000000"/>
          <w:sz w:val="24"/>
          <w:szCs w:val="24"/>
        </w:rPr>
        <w:t>Completing this form includes the requirement to assess the relatedness and expectedness of the event.</w:t>
      </w:r>
    </w:p>
    <w:p w14:paraId="5AFDDCC8" w14:textId="77777777" w:rsidR="008F6A64" w:rsidRPr="004E68FF" w:rsidRDefault="008F6A64" w:rsidP="000C2DE4">
      <w:pPr>
        <w:pStyle w:val="ListParagraph"/>
        <w:numPr>
          <w:ilvl w:val="2"/>
          <w:numId w:val="11"/>
        </w:numPr>
        <w:spacing w:after="240"/>
        <w:ind w:left="1701" w:hanging="850"/>
        <w:rPr>
          <w:rFonts w:ascii="Arial" w:hAnsi="Arial" w:cs="Arial"/>
          <w:sz w:val="24"/>
          <w:szCs w:val="24"/>
        </w:rPr>
      </w:pPr>
      <w:r>
        <w:rPr>
          <w:rFonts w:ascii="Arial" w:hAnsi="Arial" w:cs="Arial"/>
          <w:sz w:val="24"/>
          <w:szCs w:val="24"/>
        </w:rPr>
        <w:t>The Trust as sponsor will report the SAE/SADE to the MHRA within 2 calendar days after receiving a Device SAE report from the re</w:t>
      </w:r>
      <w:r w:rsidR="003651E5">
        <w:rPr>
          <w:rFonts w:ascii="Arial" w:hAnsi="Arial" w:cs="Arial"/>
          <w:sz w:val="24"/>
          <w:szCs w:val="24"/>
        </w:rPr>
        <w:t>search team (where there was risk of death, serious injury or serious illness</w:t>
      </w:r>
      <w:r w:rsidR="008C3BAE">
        <w:rPr>
          <w:rFonts w:ascii="Arial" w:hAnsi="Arial" w:cs="Arial"/>
          <w:sz w:val="24"/>
          <w:szCs w:val="24"/>
        </w:rPr>
        <w:t xml:space="preserve"> that required prompt remedial action for other patients/subjects, users or other persons</w:t>
      </w:r>
      <w:r w:rsidR="003651E5">
        <w:rPr>
          <w:rFonts w:ascii="Arial" w:hAnsi="Arial" w:cs="Arial"/>
          <w:sz w:val="24"/>
          <w:szCs w:val="24"/>
        </w:rPr>
        <w:t>) or 7 days where there was no such risk identified</w:t>
      </w:r>
      <w:r w:rsidR="003651E5" w:rsidRPr="008F6A64">
        <w:rPr>
          <w:rFonts w:ascii="Arial" w:hAnsi="Arial" w:cs="Arial"/>
          <w:sz w:val="24"/>
          <w:szCs w:val="24"/>
        </w:rPr>
        <w:t>.</w:t>
      </w:r>
    </w:p>
    <w:p w14:paraId="580BD0A0" w14:textId="77777777" w:rsidR="004E68FF" w:rsidRPr="004E68FF" w:rsidRDefault="00077C6C" w:rsidP="004E68FF">
      <w:pPr>
        <w:tabs>
          <w:tab w:val="left" w:pos="1418"/>
        </w:tabs>
        <w:spacing w:after="240"/>
        <w:ind w:left="1701" w:hanging="850"/>
        <w:rPr>
          <w:rFonts w:eastAsia="Arial Unicode MS" w:cs="Arial"/>
          <w:color w:val="000000"/>
          <w:szCs w:val="24"/>
        </w:rPr>
      </w:pPr>
      <w:r>
        <w:rPr>
          <w:rFonts w:eastAsia="Arial Unicode MS" w:cs="Arial"/>
          <w:b/>
          <w:color w:val="000000"/>
          <w:szCs w:val="24"/>
        </w:rPr>
        <w:t>5.2.</w:t>
      </w:r>
      <w:r w:rsidR="008F6A64">
        <w:rPr>
          <w:rFonts w:eastAsia="Arial Unicode MS" w:cs="Arial"/>
          <w:b/>
          <w:color w:val="000000"/>
          <w:szCs w:val="24"/>
        </w:rPr>
        <w:t>5</w:t>
      </w:r>
      <w:r>
        <w:rPr>
          <w:rFonts w:eastAsia="Arial Unicode MS" w:cs="Arial"/>
          <w:b/>
          <w:color w:val="000000"/>
          <w:szCs w:val="24"/>
        </w:rPr>
        <w:tab/>
      </w:r>
      <w:r>
        <w:rPr>
          <w:rFonts w:eastAsia="Arial Unicode MS" w:cs="Arial"/>
          <w:b/>
          <w:color w:val="000000"/>
          <w:szCs w:val="24"/>
        </w:rPr>
        <w:tab/>
      </w:r>
      <w:r w:rsidR="004E68FF">
        <w:rPr>
          <w:rFonts w:eastAsia="Arial Unicode MS" w:cs="Arial"/>
          <w:color w:val="000000"/>
          <w:szCs w:val="24"/>
        </w:rPr>
        <w:t xml:space="preserve">For multi-centre </w:t>
      </w:r>
      <w:r w:rsidR="00A06050">
        <w:rPr>
          <w:rFonts w:eastAsia="Arial Unicode MS" w:cs="Arial"/>
          <w:color w:val="000000"/>
          <w:szCs w:val="24"/>
        </w:rPr>
        <w:t>clinical investigations</w:t>
      </w:r>
      <w:r w:rsidR="004E68FF">
        <w:rPr>
          <w:rFonts w:eastAsia="Arial Unicode MS" w:cs="Arial"/>
          <w:color w:val="000000"/>
          <w:szCs w:val="24"/>
        </w:rPr>
        <w:t>, 5.2.3</w:t>
      </w:r>
      <w:r w:rsidR="008F6A64">
        <w:rPr>
          <w:rFonts w:eastAsia="Arial Unicode MS" w:cs="Arial"/>
          <w:color w:val="000000"/>
          <w:szCs w:val="24"/>
        </w:rPr>
        <w:t>-4</w:t>
      </w:r>
      <w:r w:rsidR="004E68FF">
        <w:rPr>
          <w:rFonts w:eastAsia="Arial Unicode MS" w:cs="Arial"/>
          <w:color w:val="000000"/>
          <w:szCs w:val="24"/>
        </w:rPr>
        <w:t xml:space="preserve"> must be completed for SAEs/SADEs occurring at all sites.</w:t>
      </w:r>
    </w:p>
    <w:p w14:paraId="584F8083" w14:textId="77777777" w:rsidR="004E68FF" w:rsidRDefault="004E68FF" w:rsidP="00077C6C">
      <w:pPr>
        <w:tabs>
          <w:tab w:val="left" w:pos="1418"/>
        </w:tabs>
        <w:spacing w:after="240"/>
        <w:ind w:left="1701" w:hanging="850"/>
        <w:rPr>
          <w:rFonts w:eastAsia="Arial Unicode MS" w:cs="Arial"/>
          <w:color w:val="000000"/>
          <w:szCs w:val="24"/>
        </w:rPr>
      </w:pPr>
      <w:r w:rsidRPr="004E68FF">
        <w:rPr>
          <w:rFonts w:eastAsia="Arial Unicode MS" w:cs="Arial"/>
          <w:b/>
          <w:color w:val="000000"/>
          <w:szCs w:val="24"/>
        </w:rPr>
        <w:t>5.2.</w:t>
      </w:r>
      <w:r w:rsidR="008F6A64">
        <w:rPr>
          <w:rFonts w:eastAsia="Arial Unicode MS" w:cs="Arial"/>
          <w:b/>
          <w:color w:val="000000"/>
          <w:szCs w:val="24"/>
        </w:rPr>
        <w:t>6</w:t>
      </w:r>
      <w:r>
        <w:rPr>
          <w:rFonts w:eastAsia="Arial Unicode MS" w:cs="Arial"/>
          <w:color w:val="000000"/>
          <w:szCs w:val="24"/>
        </w:rPr>
        <w:tab/>
      </w:r>
      <w:r>
        <w:rPr>
          <w:rFonts w:eastAsia="Arial Unicode MS" w:cs="Arial"/>
          <w:color w:val="000000"/>
          <w:szCs w:val="24"/>
        </w:rPr>
        <w:tab/>
      </w:r>
      <w:r w:rsidRPr="007555D9">
        <w:rPr>
          <w:rFonts w:eastAsia="Arial Unicode MS" w:cs="Arial"/>
          <w:color w:val="000000"/>
          <w:szCs w:val="24"/>
        </w:rPr>
        <w:t xml:space="preserve">Complete the Adverse Event page in the </w:t>
      </w:r>
      <w:r w:rsidR="00775A79" w:rsidRPr="007555D9">
        <w:rPr>
          <w:rFonts w:eastAsia="Arial Unicode MS" w:cs="Arial"/>
          <w:color w:val="000000"/>
          <w:szCs w:val="24"/>
        </w:rPr>
        <w:t>CRF</w:t>
      </w:r>
      <w:r w:rsidRPr="007555D9">
        <w:rPr>
          <w:rFonts w:eastAsia="Arial Unicode MS" w:cs="Arial"/>
          <w:color w:val="000000"/>
          <w:szCs w:val="24"/>
        </w:rPr>
        <w:t>.  A standard Trust Device AE reporting form is provided and should be used to record events.</w:t>
      </w:r>
      <w:r>
        <w:rPr>
          <w:rFonts w:eastAsia="Arial Unicode MS" w:cs="Arial"/>
          <w:color w:val="000000"/>
          <w:szCs w:val="24"/>
        </w:rPr>
        <w:t xml:space="preserve"> </w:t>
      </w:r>
    </w:p>
    <w:p w14:paraId="7D01FB20" w14:textId="77777777" w:rsidR="00077C6C" w:rsidRPr="006A15B6" w:rsidRDefault="004E68FF" w:rsidP="00077C6C">
      <w:pPr>
        <w:tabs>
          <w:tab w:val="left" w:pos="1418"/>
        </w:tabs>
        <w:spacing w:after="240"/>
        <w:ind w:left="1701" w:hanging="850"/>
        <w:rPr>
          <w:rFonts w:cs="Arial"/>
          <w:szCs w:val="24"/>
        </w:rPr>
      </w:pPr>
      <w:r w:rsidRPr="004E68FF">
        <w:rPr>
          <w:rFonts w:eastAsia="Arial Unicode MS" w:cs="Arial"/>
          <w:b/>
          <w:color w:val="000000"/>
          <w:szCs w:val="24"/>
        </w:rPr>
        <w:t>5.2.</w:t>
      </w:r>
      <w:r w:rsidR="008F6A64">
        <w:rPr>
          <w:rFonts w:eastAsia="Arial Unicode MS" w:cs="Arial"/>
          <w:b/>
          <w:color w:val="000000"/>
          <w:szCs w:val="24"/>
        </w:rPr>
        <w:t>7</w:t>
      </w:r>
      <w:r>
        <w:rPr>
          <w:rFonts w:eastAsia="Arial Unicode MS" w:cs="Arial"/>
          <w:color w:val="000000"/>
          <w:szCs w:val="24"/>
        </w:rPr>
        <w:tab/>
      </w:r>
      <w:r>
        <w:rPr>
          <w:rFonts w:eastAsia="Arial Unicode MS" w:cs="Arial"/>
          <w:color w:val="000000"/>
          <w:szCs w:val="24"/>
        </w:rPr>
        <w:tab/>
      </w:r>
      <w:r w:rsidR="00077C6C" w:rsidRPr="000E2916">
        <w:rPr>
          <w:rFonts w:eastAsia="Arial Unicode MS" w:cs="Arial"/>
          <w:color w:val="000000"/>
          <w:szCs w:val="24"/>
        </w:rPr>
        <w:t xml:space="preserve">Enter the </w:t>
      </w:r>
      <w:r>
        <w:rPr>
          <w:rFonts w:eastAsia="Arial Unicode MS" w:cs="Arial"/>
          <w:color w:val="000000"/>
          <w:szCs w:val="24"/>
        </w:rPr>
        <w:t>SAE/SADE</w:t>
      </w:r>
      <w:r w:rsidR="00077C6C" w:rsidRPr="000E2916">
        <w:rPr>
          <w:rFonts w:eastAsia="Arial Unicode MS" w:cs="Arial"/>
          <w:color w:val="000000"/>
          <w:szCs w:val="24"/>
        </w:rPr>
        <w:t xml:space="preserve"> into the trial adverse event spreadsheet or adverse event log.</w:t>
      </w:r>
      <w:r w:rsidR="00077C6C" w:rsidRPr="006A15B6">
        <w:rPr>
          <w:rFonts w:eastAsia="Arial Unicode MS" w:cs="Arial"/>
          <w:color w:val="000000"/>
          <w:szCs w:val="24"/>
        </w:rPr>
        <w:t xml:space="preserve">  This should be made available for </w:t>
      </w:r>
      <w:r>
        <w:rPr>
          <w:rFonts w:eastAsia="Arial Unicode MS" w:cs="Arial"/>
          <w:color w:val="000000"/>
          <w:szCs w:val="24"/>
        </w:rPr>
        <w:t xml:space="preserve">DMC, </w:t>
      </w:r>
      <w:r w:rsidR="00077C6C" w:rsidRPr="006A15B6">
        <w:rPr>
          <w:rFonts w:eastAsia="Arial Unicode MS" w:cs="Arial"/>
          <w:color w:val="000000"/>
          <w:szCs w:val="24"/>
        </w:rPr>
        <w:t>TSC</w:t>
      </w:r>
      <w:r>
        <w:rPr>
          <w:rFonts w:eastAsia="Arial Unicode MS" w:cs="Arial"/>
          <w:color w:val="000000"/>
          <w:szCs w:val="24"/>
        </w:rPr>
        <w:t xml:space="preserve"> </w:t>
      </w:r>
      <w:r w:rsidR="00077C6C" w:rsidRPr="006A15B6">
        <w:rPr>
          <w:rFonts w:eastAsia="Arial Unicode MS" w:cs="Arial"/>
          <w:color w:val="000000"/>
          <w:szCs w:val="24"/>
        </w:rPr>
        <w:t xml:space="preserve">and </w:t>
      </w:r>
      <w:r>
        <w:rPr>
          <w:rFonts w:eastAsia="Arial Unicode MS" w:cs="Arial"/>
          <w:color w:val="000000"/>
          <w:szCs w:val="24"/>
        </w:rPr>
        <w:t xml:space="preserve">SAGO </w:t>
      </w:r>
      <w:r w:rsidR="00077C6C" w:rsidRPr="006A15B6">
        <w:rPr>
          <w:rFonts w:eastAsia="Arial Unicode MS" w:cs="Arial"/>
          <w:color w:val="000000"/>
          <w:szCs w:val="24"/>
        </w:rPr>
        <w:t>review.</w:t>
      </w:r>
    </w:p>
    <w:p w14:paraId="500BFD26" w14:textId="77777777" w:rsidR="00077C6C" w:rsidRDefault="00077C6C" w:rsidP="00077C6C">
      <w:pPr>
        <w:tabs>
          <w:tab w:val="left" w:pos="1418"/>
        </w:tabs>
        <w:spacing w:after="240"/>
        <w:ind w:left="1701" w:hanging="850"/>
        <w:rPr>
          <w:rFonts w:eastAsia="Arial Unicode MS" w:cs="Arial"/>
          <w:color w:val="000000"/>
          <w:szCs w:val="24"/>
        </w:rPr>
      </w:pPr>
      <w:r>
        <w:rPr>
          <w:rFonts w:eastAsia="Arial Unicode MS" w:cs="Arial"/>
          <w:b/>
          <w:color w:val="000000"/>
          <w:szCs w:val="24"/>
        </w:rPr>
        <w:t>5.2.</w:t>
      </w:r>
      <w:r w:rsidR="008F6A64">
        <w:rPr>
          <w:rFonts w:eastAsia="Arial Unicode MS" w:cs="Arial"/>
          <w:b/>
          <w:color w:val="000000"/>
          <w:szCs w:val="24"/>
        </w:rPr>
        <w:t>8</w:t>
      </w:r>
      <w:r>
        <w:rPr>
          <w:rFonts w:eastAsia="Arial Unicode MS" w:cs="Arial"/>
          <w:b/>
          <w:color w:val="000000"/>
          <w:szCs w:val="24"/>
        </w:rPr>
        <w:tab/>
      </w:r>
      <w:r>
        <w:rPr>
          <w:rFonts w:eastAsia="Arial Unicode MS" w:cs="Arial"/>
          <w:b/>
          <w:color w:val="000000"/>
          <w:szCs w:val="24"/>
        </w:rPr>
        <w:tab/>
      </w:r>
      <w:r w:rsidRPr="006A15B6">
        <w:rPr>
          <w:rFonts w:eastAsia="Arial Unicode MS" w:cs="Arial"/>
          <w:color w:val="000000"/>
          <w:szCs w:val="24"/>
        </w:rPr>
        <w:t xml:space="preserve">Take any other action as specified by the protocol.  For example, some </w:t>
      </w:r>
      <w:r w:rsidR="004E68FF">
        <w:rPr>
          <w:rFonts w:eastAsia="Arial Unicode MS" w:cs="Arial"/>
          <w:color w:val="000000"/>
          <w:szCs w:val="24"/>
        </w:rPr>
        <w:t>SAEs/S</w:t>
      </w:r>
      <w:r>
        <w:rPr>
          <w:rFonts w:eastAsia="Arial Unicode MS" w:cs="Arial"/>
          <w:color w:val="000000"/>
          <w:szCs w:val="24"/>
        </w:rPr>
        <w:t>ADEs</w:t>
      </w:r>
      <w:r w:rsidRPr="006A15B6">
        <w:rPr>
          <w:rFonts w:eastAsia="Arial Unicode MS" w:cs="Arial"/>
          <w:color w:val="000000"/>
          <w:szCs w:val="24"/>
        </w:rPr>
        <w:t xml:space="preserve"> may be identified in the protocol as being of special interest - critical to evaluating the safety of the </w:t>
      </w:r>
      <w:r>
        <w:rPr>
          <w:rFonts w:eastAsia="Arial Unicode MS" w:cs="Arial"/>
          <w:color w:val="000000"/>
          <w:szCs w:val="24"/>
        </w:rPr>
        <w:t>investigational device</w:t>
      </w:r>
      <w:r w:rsidRPr="006A15B6">
        <w:rPr>
          <w:rFonts w:eastAsia="Arial Unicode MS" w:cs="Arial"/>
          <w:color w:val="000000"/>
          <w:szCs w:val="24"/>
        </w:rPr>
        <w:t xml:space="preserve"> - and will have specific reporting requirements.</w:t>
      </w:r>
      <w:r w:rsidRPr="00077C6C">
        <w:rPr>
          <w:rFonts w:eastAsia="Arial Unicode MS" w:cs="Arial"/>
          <w:color w:val="000000"/>
          <w:szCs w:val="24"/>
        </w:rPr>
        <w:t xml:space="preserve"> </w:t>
      </w:r>
    </w:p>
    <w:p w14:paraId="76FB84D3" w14:textId="77777777" w:rsidR="00077C6C" w:rsidRPr="00884460" w:rsidRDefault="00077C6C" w:rsidP="00077C6C">
      <w:pPr>
        <w:tabs>
          <w:tab w:val="left" w:pos="1418"/>
        </w:tabs>
        <w:spacing w:after="240"/>
        <w:ind w:left="1701" w:hanging="850"/>
        <w:rPr>
          <w:rFonts w:cs="Arial"/>
          <w:szCs w:val="24"/>
        </w:rPr>
      </w:pPr>
      <w:r>
        <w:rPr>
          <w:rFonts w:eastAsia="Arial Unicode MS" w:cs="Arial"/>
          <w:b/>
          <w:color w:val="000000"/>
          <w:szCs w:val="24"/>
        </w:rPr>
        <w:t>5.2.</w:t>
      </w:r>
      <w:r w:rsidR="008F6A64">
        <w:rPr>
          <w:rFonts w:eastAsia="Arial Unicode MS" w:cs="Arial"/>
          <w:b/>
          <w:color w:val="000000"/>
          <w:szCs w:val="24"/>
        </w:rPr>
        <w:t>9</w:t>
      </w:r>
      <w:r>
        <w:rPr>
          <w:rFonts w:eastAsia="Arial Unicode MS" w:cs="Arial"/>
          <w:b/>
          <w:color w:val="000000"/>
          <w:szCs w:val="24"/>
        </w:rPr>
        <w:tab/>
      </w:r>
      <w:r>
        <w:rPr>
          <w:rFonts w:eastAsia="Arial Unicode MS" w:cs="Arial"/>
          <w:b/>
          <w:color w:val="000000"/>
          <w:szCs w:val="24"/>
        </w:rPr>
        <w:tab/>
      </w:r>
      <w:r w:rsidRPr="000E2916">
        <w:rPr>
          <w:rFonts w:eastAsia="Arial Unicode MS" w:cs="Arial"/>
          <w:color w:val="000000"/>
          <w:szCs w:val="24"/>
        </w:rPr>
        <w:t>If a trend appears to be developing</w:t>
      </w:r>
      <w:r>
        <w:rPr>
          <w:rFonts w:eastAsia="Arial Unicode MS" w:cs="Arial"/>
          <w:color w:val="000000"/>
          <w:szCs w:val="24"/>
        </w:rPr>
        <w:t xml:space="preserve"> for </w:t>
      </w:r>
      <w:r w:rsidR="004E68FF">
        <w:rPr>
          <w:rFonts w:eastAsia="Arial Unicode MS" w:cs="Arial"/>
          <w:color w:val="000000"/>
          <w:szCs w:val="24"/>
        </w:rPr>
        <w:t>S</w:t>
      </w:r>
      <w:r>
        <w:rPr>
          <w:rFonts w:eastAsia="Arial Unicode MS" w:cs="Arial"/>
          <w:color w:val="000000"/>
          <w:szCs w:val="24"/>
        </w:rPr>
        <w:t>ADEs</w:t>
      </w:r>
      <w:r w:rsidRPr="000E2916">
        <w:rPr>
          <w:rFonts w:eastAsia="Arial Unicode MS" w:cs="Arial"/>
          <w:color w:val="000000"/>
          <w:szCs w:val="24"/>
        </w:rPr>
        <w:t>, inform the DMC, TSC and SAGO.</w:t>
      </w:r>
    </w:p>
    <w:p w14:paraId="2A2393AE" w14:textId="77777777" w:rsidR="004E68FF" w:rsidRDefault="00077C6C" w:rsidP="004E68FF">
      <w:pPr>
        <w:spacing w:after="240"/>
        <w:ind w:left="1701" w:hanging="850"/>
        <w:rPr>
          <w:rFonts w:eastAsia="Arial Unicode MS" w:cs="Arial"/>
          <w:color w:val="000000"/>
          <w:szCs w:val="24"/>
        </w:rPr>
      </w:pPr>
      <w:r>
        <w:rPr>
          <w:rFonts w:eastAsia="Arial Unicode MS" w:cs="Arial"/>
          <w:b/>
          <w:color w:val="000000"/>
          <w:szCs w:val="24"/>
        </w:rPr>
        <w:t>5.2.</w:t>
      </w:r>
      <w:r w:rsidR="008F6A64">
        <w:rPr>
          <w:rFonts w:eastAsia="Arial Unicode MS" w:cs="Arial"/>
          <w:b/>
          <w:color w:val="000000"/>
          <w:szCs w:val="24"/>
        </w:rPr>
        <w:t>10</w:t>
      </w:r>
      <w:r>
        <w:rPr>
          <w:rFonts w:eastAsia="Arial Unicode MS" w:cs="Arial"/>
          <w:b/>
          <w:color w:val="000000"/>
          <w:szCs w:val="24"/>
        </w:rPr>
        <w:tab/>
      </w:r>
      <w:r w:rsidR="004E68FF" w:rsidRPr="006A15B6">
        <w:rPr>
          <w:rFonts w:eastAsia="Arial Unicode MS" w:cs="Arial"/>
          <w:color w:val="000000"/>
          <w:szCs w:val="24"/>
        </w:rPr>
        <w:t xml:space="preserve">If the </w:t>
      </w:r>
      <w:r w:rsidR="004E68FF">
        <w:rPr>
          <w:rFonts w:eastAsia="Arial Unicode MS" w:cs="Arial"/>
          <w:color w:val="000000"/>
          <w:szCs w:val="24"/>
        </w:rPr>
        <w:t>SAE/SADE</w:t>
      </w:r>
      <w:r w:rsidR="004E68FF" w:rsidRPr="006A15B6">
        <w:rPr>
          <w:rFonts w:eastAsia="Arial Unicode MS" w:cs="Arial"/>
          <w:color w:val="000000"/>
          <w:szCs w:val="24"/>
        </w:rPr>
        <w:t xml:space="preserve"> is ongoing at the time of completing the initial report, it should be followed up and documented in the patient medical records at subsequent study visits until resolved, returned to </w:t>
      </w:r>
      <w:r w:rsidR="004E68FF" w:rsidRPr="006A15B6">
        <w:rPr>
          <w:rFonts w:eastAsia="Arial Unicode MS" w:cs="Arial"/>
          <w:color w:val="000000"/>
          <w:szCs w:val="24"/>
        </w:rPr>
        <w:lastRenderedPageBreak/>
        <w:t>baseline, or stabilised.  Follow up reports should be sent periodically or at the sponsor’s request until the event is resolved.</w:t>
      </w:r>
      <w:r w:rsidR="003651E5">
        <w:rPr>
          <w:rFonts w:eastAsia="Arial Unicode MS" w:cs="Arial"/>
          <w:color w:val="000000"/>
          <w:szCs w:val="24"/>
        </w:rPr>
        <w:t xml:space="preserve"> The Trust will report new information to the MHRA within 2 calendar days of being informed (</w:t>
      </w:r>
      <w:r w:rsidR="003651E5">
        <w:rPr>
          <w:rFonts w:cs="Arial"/>
          <w:szCs w:val="24"/>
        </w:rPr>
        <w:t>where there was risk of death, serious injury or serious illness</w:t>
      </w:r>
      <w:r w:rsidR="008C3BAE">
        <w:rPr>
          <w:rFonts w:cs="Arial"/>
          <w:szCs w:val="24"/>
        </w:rPr>
        <w:t xml:space="preserve"> that required prompt remedial action for other patients/subjects, users or other persons</w:t>
      </w:r>
      <w:r w:rsidR="003651E5">
        <w:rPr>
          <w:rFonts w:cs="Arial"/>
          <w:szCs w:val="24"/>
        </w:rPr>
        <w:t>) or 7 days where there was no such risk identified</w:t>
      </w:r>
      <w:r w:rsidR="003651E5">
        <w:rPr>
          <w:rFonts w:eastAsia="Arial Unicode MS" w:cs="Arial"/>
          <w:color w:val="000000"/>
          <w:szCs w:val="24"/>
        </w:rPr>
        <w:t>.</w:t>
      </w:r>
    </w:p>
    <w:p w14:paraId="31E54BF5" w14:textId="77777777" w:rsidR="004E68FF" w:rsidRDefault="004E68FF" w:rsidP="004E68FF">
      <w:pPr>
        <w:spacing w:after="240"/>
        <w:ind w:left="1701" w:hanging="850"/>
        <w:rPr>
          <w:rFonts w:eastAsia="Arial Unicode MS" w:cs="Arial"/>
          <w:color w:val="000000"/>
          <w:szCs w:val="24"/>
        </w:rPr>
      </w:pPr>
      <w:r>
        <w:rPr>
          <w:rFonts w:eastAsia="Arial Unicode MS" w:cs="Arial"/>
          <w:b/>
          <w:color w:val="000000"/>
          <w:szCs w:val="24"/>
        </w:rPr>
        <w:t>5.2.</w:t>
      </w:r>
      <w:r w:rsidR="008F6A64">
        <w:rPr>
          <w:rFonts w:eastAsia="Arial Unicode MS" w:cs="Arial"/>
          <w:b/>
          <w:color w:val="000000"/>
          <w:szCs w:val="24"/>
        </w:rPr>
        <w:t>11</w:t>
      </w:r>
      <w:r>
        <w:rPr>
          <w:rFonts w:eastAsia="Arial Unicode MS" w:cs="Arial"/>
          <w:b/>
          <w:color w:val="000000"/>
          <w:szCs w:val="24"/>
        </w:rPr>
        <w:tab/>
      </w:r>
      <w:r>
        <w:rPr>
          <w:rFonts w:eastAsia="Arial Unicode MS" w:cs="Arial"/>
          <w:color w:val="000000"/>
          <w:szCs w:val="24"/>
        </w:rPr>
        <w:t>SAEs/SADEs that are ongoing at the end of a participant’s involvement in the trial should be followed up as detailed in the protocol, or for 30 days if this is not specified.</w:t>
      </w:r>
      <w:r w:rsidR="008F6A64">
        <w:rPr>
          <w:rFonts w:eastAsia="Arial Unicode MS" w:cs="Arial"/>
          <w:color w:val="000000"/>
          <w:szCs w:val="24"/>
        </w:rPr>
        <w:t xml:space="preserve"> </w:t>
      </w:r>
    </w:p>
    <w:p w14:paraId="449FD65D" w14:textId="77777777" w:rsidR="00077C6C" w:rsidRPr="004E68FF" w:rsidRDefault="004E68FF" w:rsidP="004E68FF">
      <w:pPr>
        <w:spacing w:after="240"/>
        <w:ind w:left="1701" w:hanging="850"/>
        <w:rPr>
          <w:rFonts w:cs="Arial"/>
          <w:szCs w:val="24"/>
        </w:rPr>
      </w:pPr>
      <w:r>
        <w:rPr>
          <w:rFonts w:eastAsia="Arial Unicode MS" w:cs="Arial"/>
          <w:b/>
          <w:color w:val="000000"/>
          <w:szCs w:val="24"/>
        </w:rPr>
        <w:t>5.2.1</w:t>
      </w:r>
      <w:r w:rsidR="008F6A64">
        <w:rPr>
          <w:rFonts w:eastAsia="Arial Unicode MS" w:cs="Arial"/>
          <w:b/>
          <w:color w:val="000000"/>
          <w:szCs w:val="24"/>
        </w:rPr>
        <w:t>2</w:t>
      </w:r>
      <w:r>
        <w:rPr>
          <w:rFonts w:eastAsia="Arial Unicode MS" w:cs="Arial"/>
          <w:b/>
          <w:color w:val="000000"/>
          <w:szCs w:val="24"/>
        </w:rPr>
        <w:tab/>
      </w:r>
      <w:r w:rsidRPr="007555D9">
        <w:rPr>
          <w:rFonts w:eastAsia="Arial Unicode MS" w:cs="Arial"/>
          <w:color w:val="000000"/>
          <w:szCs w:val="24"/>
        </w:rPr>
        <w:t xml:space="preserve">All SAEs/SADEs </w:t>
      </w:r>
      <w:r w:rsidR="008C3BAE" w:rsidRPr="003651E5">
        <w:rPr>
          <w:rFonts w:eastAsia="Arial Unicode MS" w:cs="Arial"/>
          <w:color w:val="000000"/>
          <w:szCs w:val="24"/>
        </w:rPr>
        <w:t>must be recorded in a line listing format for inclusion in the annual</w:t>
      </w:r>
      <w:r w:rsidR="008C3BAE">
        <w:rPr>
          <w:rFonts w:eastAsia="Arial Unicode MS" w:cs="Arial"/>
          <w:color w:val="000000"/>
          <w:szCs w:val="24"/>
        </w:rPr>
        <w:t xml:space="preserve"> progress report and any summary reports required by the MHRA.</w:t>
      </w:r>
    </w:p>
    <w:p w14:paraId="42EF77E4" w14:textId="77777777" w:rsidR="00383257" w:rsidRDefault="00077C6C" w:rsidP="00077C6C">
      <w:pPr>
        <w:ind w:left="1701" w:hanging="850"/>
        <w:rPr>
          <w:rFonts w:eastAsia="Arial Unicode MS"/>
          <w:b/>
        </w:rPr>
      </w:pPr>
      <w:r w:rsidRPr="004E68FF">
        <w:rPr>
          <w:rFonts w:eastAsia="Arial Unicode MS" w:cs="Arial"/>
          <w:b/>
          <w:color w:val="000000"/>
          <w:szCs w:val="24"/>
        </w:rPr>
        <w:t>5.2.</w:t>
      </w:r>
      <w:r w:rsidR="004E68FF" w:rsidRPr="004E68FF">
        <w:rPr>
          <w:rFonts w:eastAsia="Arial Unicode MS" w:cs="Arial"/>
          <w:b/>
          <w:color w:val="000000"/>
          <w:szCs w:val="24"/>
        </w:rPr>
        <w:t>1</w:t>
      </w:r>
      <w:r w:rsidR="008F6A64">
        <w:rPr>
          <w:rFonts w:eastAsia="Arial Unicode MS" w:cs="Arial"/>
          <w:b/>
          <w:color w:val="000000"/>
          <w:szCs w:val="24"/>
        </w:rPr>
        <w:t>3</w:t>
      </w:r>
      <w:r w:rsidRPr="004E68FF">
        <w:rPr>
          <w:rFonts w:eastAsia="Arial Unicode MS" w:cs="Arial"/>
          <w:b/>
          <w:color w:val="000000"/>
          <w:szCs w:val="24"/>
        </w:rPr>
        <w:tab/>
      </w:r>
      <w:r w:rsidR="004E68FF" w:rsidRPr="009B2018">
        <w:rPr>
          <w:rFonts w:eastAsia="Arial Unicode MS" w:cs="Arial"/>
          <w:color w:val="000000"/>
          <w:szCs w:val="24"/>
        </w:rPr>
        <w:t>S</w:t>
      </w:r>
      <w:r w:rsidRPr="009B2018">
        <w:rPr>
          <w:rFonts w:eastAsia="Arial Unicode MS" w:cs="Arial"/>
          <w:color w:val="000000"/>
          <w:szCs w:val="24"/>
        </w:rPr>
        <w:t>AEs</w:t>
      </w:r>
      <w:r w:rsidR="004E68FF" w:rsidRPr="009B2018">
        <w:rPr>
          <w:rFonts w:eastAsia="Arial Unicode MS" w:cs="Arial"/>
          <w:color w:val="000000"/>
          <w:szCs w:val="24"/>
        </w:rPr>
        <w:t>/SADEs</w:t>
      </w:r>
      <w:r w:rsidRPr="009B2018">
        <w:rPr>
          <w:rFonts w:eastAsia="Arial Unicode MS" w:cs="Arial"/>
          <w:color w:val="000000"/>
          <w:szCs w:val="24"/>
        </w:rPr>
        <w:t xml:space="preserve"> that result in the subject withdrawing - or being withdrawn - from the study must be recorded for inclusion in the annual progress report submitted to the REC.</w:t>
      </w:r>
    </w:p>
    <w:p w14:paraId="77D731F4" w14:textId="77777777" w:rsidR="00383257" w:rsidRDefault="00383257" w:rsidP="004E68FF">
      <w:pPr>
        <w:rPr>
          <w:rFonts w:eastAsia="Arial Unicode MS"/>
          <w:b/>
        </w:rPr>
      </w:pPr>
    </w:p>
    <w:p w14:paraId="15A44C76" w14:textId="77777777" w:rsidR="00383257" w:rsidRDefault="00383257" w:rsidP="00383257">
      <w:pPr>
        <w:ind w:left="426"/>
        <w:rPr>
          <w:rFonts w:eastAsia="Arial Unicode MS"/>
          <w:b/>
        </w:rPr>
      </w:pPr>
      <w:r>
        <w:rPr>
          <w:rFonts w:eastAsia="Arial Unicode MS"/>
          <w:b/>
        </w:rPr>
        <w:t>5.</w:t>
      </w:r>
      <w:r w:rsidR="004E68FF">
        <w:rPr>
          <w:rFonts w:eastAsia="Arial Unicode MS"/>
          <w:b/>
        </w:rPr>
        <w:t>3</w:t>
      </w:r>
      <w:r>
        <w:rPr>
          <w:rFonts w:eastAsia="Arial Unicode MS"/>
          <w:b/>
        </w:rPr>
        <w:tab/>
        <w:t>Un</w:t>
      </w:r>
      <w:r w:rsidR="00E46BF3">
        <w:rPr>
          <w:rFonts w:eastAsia="Arial Unicode MS"/>
          <w:b/>
        </w:rPr>
        <w:t>anticipated</w:t>
      </w:r>
      <w:r>
        <w:rPr>
          <w:rFonts w:eastAsia="Arial Unicode MS"/>
          <w:b/>
        </w:rPr>
        <w:t xml:space="preserve"> Serious Adverse Device Effect (USADE)</w:t>
      </w:r>
    </w:p>
    <w:p w14:paraId="5B161738" w14:textId="77777777" w:rsidR="00775A79" w:rsidRDefault="00775A79" w:rsidP="007555D9">
      <w:pPr>
        <w:pStyle w:val="NoSpacing"/>
        <w:rPr>
          <w:rFonts w:eastAsia="Arial Unicode MS"/>
        </w:rPr>
      </w:pPr>
    </w:p>
    <w:p w14:paraId="79859CB4" w14:textId="77777777" w:rsidR="00775A79" w:rsidRPr="00775A79" w:rsidRDefault="00775A79" w:rsidP="00063EF3">
      <w:pPr>
        <w:pStyle w:val="NoSpacing"/>
        <w:ind w:left="1701" w:hanging="850"/>
      </w:pPr>
      <w:r w:rsidRPr="00775A79">
        <w:rPr>
          <w:rFonts w:eastAsia="Arial Unicode MS"/>
          <w:b/>
        </w:rPr>
        <w:t>5.3.1</w:t>
      </w:r>
      <w:r w:rsidRPr="00775A79">
        <w:rPr>
          <w:rFonts w:eastAsia="Arial Unicode MS"/>
          <w:b/>
        </w:rPr>
        <w:tab/>
      </w:r>
      <w:r w:rsidRPr="00775A79">
        <w:rPr>
          <w:rFonts w:eastAsia="Arial Unicode MS"/>
        </w:rPr>
        <w:t>Clearly document the following in the patient’s medical record:</w:t>
      </w:r>
    </w:p>
    <w:p w14:paraId="15D98BAC" w14:textId="77777777" w:rsidR="00775A79" w:rsidRPr="006A15B6" w:rsidRDefault="00775A79" w:rsidP="000C2DE4">
      <w:pPr>
        <w:pStyle w:val="NoSpacing"/>
        <w:numPr>
          <w:ilvl w:val="0"/>
          <w:numId w:val="12"/>
        </w:numPr>
        <w:ind w:left="2127" w:hanging="426"/>
        <w:rPr>
          <w:rFonts w:eastAsia="Arial Unicode MS"/>
        </w:rPr>
      </w:pPr>
      <w:r w:rsidRPr="006A15B6">
        <w:rPr>
          <w:rFonts w:eastAsia="Arial Unicode MS"/>
        </w:rPr>
        <w:t xml:space="preserve">The date </w:t>
      </w:r>
      <w:r w:rsidRPr="006A15B6">
        <w:rPr>
          <w:rFonts w:eastAsia="Arial Unicode MS"/>
          <w:i/>
        </w:rPr>
        <w:t>and the time</w:t>
      </w:r>
      <w:r w:rsidRPr="006A15B6">
        <w:rPr>
          <w:rFonts w:eastAsia="Arial Unicode MS"/>
        </w:rPr>
        <w:t xml:space="preserve"> of the onset of the </w:t>
      </w:r>
      <w:r>
        <w:rPr>
          <w:rFonts w:eastAsia="Arial Unicode MS"/>
        </w:rPr>
        <w:t>effect</w:t>
      </w:r>
    </w:p>
    <w:p w14:paraId="55CFF6B6" w14:textId="77777777" w:rsidR="00775A79" w:rsidRPr="006A15B6" w:rsidRDefault="00775A79" w:rsidP="000C2DE4">
      <w:pPr>
        <w:pStyle w:val="NoSpacing"/>
        <w:numPr>
          <w:ilvl w:val="0"/>
          <w:numId w:val="12"/>
        </w:numPr>
        <w:ind w:left="2127" w:hanging="426"/>
        <w:rPr>
          <w:rFonts w:eastAsia="Arial Unicode MS"/>
        </w:rPr>
      </w:pPr>
      <w:r w:rsidRPr="006A15B6">
        <w:rPr>
          <w:rFonts w:eastAsia="Arial Unicode MS"/>
        </w:rPr>
        <w:t xml:space="preserve">If completely resolved, the duration of the </w:t>
      </w:r>
      <w:r>
        <w:rPr>
          <w:rFonts w:eastAsia="Arial Unicode MS"/>
        </w:rPr>
        <w:t>effect</w:t>
      </w:r>
    </w:p>
    <w:p w14:paraId="26388AEC" w14:textId="77777777" w:rsidR="00775A79" w:rsidRPr="006A15B6" w:rsidRDefault="00775A79" w:rsidP="000C2DE4">
      <w:pPr>
        <w:pStyle w:val="NoSpacing"/>
        <w:numPr>
          <w:ilvl w:val="0"/>
          <w:numId w:val="12"/>
        </w:numPr>
        <w:ind w:left="2127" w:hanging="426"/>
        <w:rPr>
          <w:rFonts w:eastAsia="Arial Unicode MS"/>
        </w:rPr>
      </w:pPr>
      <w:r w:rsidRPr="006A15B6">
        <w:t xml:space="preserve">The fact that </w:t>
      </w:r>
      <w:r>
        <w:t xml:space="preserve">the event is considered to be an effect </w:t>
      </w:r>
      <w:r w:rsidRPr="006A15B6">
        <w:t xml:space="preserve">(i.e. is </w:t>
      </w:r>
      <w:r w:rsidRPr="00775A79">
        <w:rPr>
          <w:bCs/>
        </w:rPr>
        <w:t>related</w:t>
      </w:r>
      <w:r w:rsidRPr="00775A79">
        <w:t xml:space="preserve"> </w:t>
      </w:r>
      <w:r>
        <w:t>to the investigational device</w:t>
      </w:r>
      <w:r w:rsidRPr="006A15B6">
        <w:t>)</w:t>
      </w:r>
    </w:p>
    <w:p w14:paraId="62363B4D" w14:textId="77777777" w:rsidR="00775A79" w:rsidRPr="006A15B6" w:rsidRDefault="00775A79" w:rsidP="000C2DE4">
      <w:pPr>
        <w:pStyle w:val="NoSpacing"/>
        <w:numPr>
          <w:ilvl w:val="0"/>
          <w:numId w:val="12"/>
        </w:numPr>
        <w:ind w:left="2127" w:hanging="426"/>
        <w:rPr>
          <w:rFonts w:eastAsia="Arial Unicode MS"/>
        </w:rPr>
      </w:pPr>
      <w:r w:rsidRPr="006A15B6">
        <w:rPr>
          <w:rFonts w:eastAsia="Arial Unicode MS"/>
        </w:rPr>
        <w:t>The fact that t</w:t>
      </w:r>
      <w:r w:rsidRPr="006A15B6">
        <w:rPr>
          <w:lang w:eastAsia="en-GB"/>
        </w:rPr>
        <w:t xml:space="preserve">he event is considered </w:t>
      </w:r>
      <w:r w:rsidRPr="00775A79">
        <w:rPr>
          <w:lang w:eastAsia="en-GB"/>
        </w:rPr>
        <w:t>un</w:t>
      </w:r>
      <w:r w:rsidR="00E46BF3">
        <w:rPr>
          <w:bCs/>
          <w:lang w:eastAsia="en-GB"/>
        </w:rPr>
        <w:t>anticipated</w:t>
      </w:r>
      <w:r w:rsidRPr="006A15B6">
        <w:rPr>
          <w:lang w:eastAsia="en-GB"/>
        </w:rPr>
        <w:t xml:space="preserve"> (i.e. that this is a</w:t>
      </w:r>
      <w:r>
        <w:rPr>
          <w:lang w:eastAsia="en-GB"/>
        </w:rPr>
        <w:t>n Un</w:t>
      </w:r>
      <w:r w:rsidR="00E46BF3">
        <w:rPr>
          <w:lang w:eastAsia="en-GB"/>
        </w:rPr>
        <w:t>anticipated</w:t>
      </w:r>
      <w:r>
        <w:rPr>
          <w:lang w:eastAsia="en-GB"/>
        </w:rPr>
        <w:t xml:space="preserve"> Serious Adverse Device Effect</w:t>
      </w:r>
      <w:r w:rsidRPr="006A15B6">
        <w:rPr>
          <w:lang w:eastAsia="en-GB"/>
        </w:rPr>
        <w:t>)</w:t>
      </w:r>
    </w:p>
    <w:p w14:paraId="558DE252" w14:textId="77777777" w:rsidR="00775A79" w:rsidRPr="006A15B6" w:rsidRDefault="00775A79" w:rsidP="000C2DE4">
      <w:pPr>
        <w:pStyle w:val="NoSpacing"/>
        <w:numPr>
          <w:ilvl w:val="0"/>
          <w:numId w:val="12"/>
        </w:numPr>
        <w:ind w:left="2127" w:hanging="426"/>
        <w:rPr>
          <w:rFonts w:eastAsia="Arial Unicode MS"/>
        </w:rPr>
      </w:pPr>
      <w:r w:rsidRPr="006A15B6">
        <w:rPr>
          <w:rFonts w:eastAsia="Arial Unicode MS"/>
        </w:rPr>
        <w:t xml:space="preserve">The severity of the </w:t>
      </w:r>
      <w:r>
        <w:rPr>
          <w:rFonts w:eastAsia="Arial Unicode MS"/>
        </w:rPr>
        <w:t>effect</w:t>
      </w:r>
      <w:r w:rsidRPr="00775A79">
        <w:rPr>
          <w:rFonts w:eastAsia="Arial Unicode MS"/>
        </w:rPr>
        <w:t xml:space="preserve"> - mild, moderate, severe</w:t>
      </w:r>
      <w:r w:rsidRPr="006A15B6">
        <w:rPr>
          <w:rFonts w:eastAsia="Arial Unicode MS"/>
        </w:rPr>
        <w:t xml:space="preserve"> </w:t>
      </w:r>
    </w:p>
    <w:p w14:paraId="3F304C77" w14:textId="77777777" w:rsidR="00775A79" w:rsidRPr="006A15B6" w:rsidRDefault="00775A79" w:rsidP="000C2DE4">
      <w:pPr>
        <w:pStyle w:val="NoSpacing"/>
        <w:numPr>
          <w:ilvl w:val="0"/>
          <w:numId w:val="12"/>
        </w:numPr>
        <w:ind w:left="2127" w:hanging="426"/>
        <w:rPr>
          <w:rFonts w:eastAsia="Arial Unicode MS"/>
        </w:rPr>
      </w:pPr>
      <w:r w:rsidRPr="006A15B6">
        <w:rPr>
          <w:rFonts w:eastAsia="Arial Unicode MS"/>
        </w:rPr>
        <w:t xml:space="preserve">Any action taken regarding the </w:t>
      </w:r>
      <w:r>
        <w:rPr>
          <w:rFonts w:eastAsia="Arial Unicode MS"/>
        </w:rPr>
        <w:t>investigational device</w:t>
      </w:r>
    </w:p>
    <w:p w14:paraId="3AF2418E" w14:textId="77777777" w:rsidR="00775A79" w:rsidRPr="006A15B6" w:rsidRDefault="00775A79" w:rsidP="000C2DE4">
      <w:pPr>
        <w:pStyle w:val="NoSpacing"/>
        <w:numPr>
          <w:ilvl w:val="0"/>
          <w:numId w:val="12"/>
        </w:numPr>
        <w:ind w:left="2127" w:hanging="426"/>
        <w:rPr>
          <w:rFonts w:eastAsia="Arial Unicode MS"/>
        </w:rPr>
      </w:pPr>
      <w:r>
        <w:rPr>
          <w:rFonts w:eastAsia="Arial Unicode MS"/>
        </w:rPr>
        <w:t>Any treatment/</w:t>
      </w:r>
      <w:r w:rsidRPr="006A15B6">
        <w:rPr>
          <w:rFonts w:eastAsia="Arial Unicode MS"/>
        </w:rPr>
        <w:t xml:space="preserve">medication given for the </w:t>
      </w:r>
      <w:r>
        <w:rPr>
          <w:rFonts w:eastAsia="Arial Unicode MS"/>
        </w:rPr>
        <w:t>effect</w:t>
      </w:r>
      <w:r w:rsidRPr="006A15B6">
        <w:rPr>
          <w:rFonts w:eastAsia="Arial Unicode MS"/>
        </w:rPr>
        <w:t>, including dates</w:t>
      </w:r>
    </w:p>
    <w:p w14:paraId="7AC9B3A2" w14:textId="77777777" w:rsidR="00775A79" w:rsidRDefault="00775A79" w:rsidP="000C2DE4">
      <w:pPr>
        <w:pStyle w:val="NoSpacing"/>
        <w:numPr>
          <w:ilvl w:val="0"/>
          <w:numId w:val="12"/>
        </w:numPr>
        <w:ind w:left="2127" w:hanging="426"/>
        <w:rPr>
          <w:rFonts w:eastAsia="Arial Unicode MS"/>
        </w:rPr>
      </w:pPr>
      <w:r w:rsidRPr="006A15B6">
        <w:rPr>
          <w:rFonts w:eastAsia="Arial Unicode MS"/>
        </w:rPr>
        <w:t>The outcome of the episode</w:t>
      </w:r>
    </w:p>
    <w:p w14:paraId="26FD3FE5" w14:textId="77777777" w:rsidR="00775A79" w:rsidRPr="006A15B6" w:rsidRDefault="00775A79" w:rsidP="00775A79">
      <w:pPr>
        <w:pStyle w:val="NoSpacing"/>
        <w:ind w:left="720"/>
        <w:rPr>
          <w:rFonts w:eastAsia="Arial Unicode MS"/>
        </w:rPr>
      </w:pPr>
    </w:p>
    <w:p w14:paraId="5C88F959" w14:textId="77777777" w:rsidR="008F6A64" w:rsidRPr="008F6A64" w:rsidRDefault="00775A79" w:rsidP="008F6A64">
      <w:pPr>
        <w:spacing w:after="240"/>
        <w:ind w:left="1701" w:hanging="850"/>
        <w:rPr>
          <w:rFonts w:eastAsia="Arial Unicode MS" w:cs="Arial"/>
          <w:color w:val="000000"/>
          <w:szCs w:val="24"/>
        </w:rPr>
      </w:pPr>
      <w:r w:rsidRPr="00775A79">
        <w:rPr>
          <w:rFonts w:eastAsia="Arial Unicode MS" w:cs="Arial"/>
          <w:b/>
          <w:color w:val="000000"/>
          <w:szCs w:val="24"/>
        </w:rPr>
        <w:t>5.3.2</w:t>
      </w:r>
      <w:r>
        <w:rPr>
          <w:rFonts w:eastAsia="Arial Unicode MS" w:cs="Arial"/>
          <w:color w:val="000000"/>
          <w:szCs w:val="24"/>
        </w:rPr>
        <w:tab/>
      </w:r>
      <w:r w:rsidRPr="00775A79">
        <w:rPr>
          <w:rFonts w:eastAsia="Arial Unicode MS" w:cs="Arial"/>
          <w:color w:val="000000"/>
          <w:szCs w:val="24"/>
        </w:rPr>
        <w:t xml:space="preserve">Complete the Device SAE form as soon as possible after becoming aware of the event and send a scanned copy to the Trust’s sponsor office using the email address </w:t>
      </w:r>
      <w:hyperlink r:id="rId10" w:history="1">
        <w:r w:rsidRPr="00775A79">
          <w:rPr>
            <w:rStyle w:val="Hyperlink"/>
            <w:rFonts w:eastAsia="Arial Unicode MS" w:cs="Arial"/>
            <w:szCs w:val="24"/>
          </w:rPr>
          <w:t>adverse.events@mft.nhs.uk</w:t>
        </w:r>
      </w:hyperlink>
      <w:r w:rsidRPr="00775A79">
        <w:rPr>
          <w:rFonts w:eastAsia="Arial Unicode MS" w:cs="Arial"/>
          <w:color w:val="000000"/>
          <w:szCs w:val="24"/>
        </w:rPr>
        <w:t xml:space="preserve">.  </w:t>
      </w:r>
      <w:r>
        <w:rPr>
          <w:rFonts w:eastAsia="Arial Unicode MS" w:cs="Arial"/>
          <w:color w:val="000000"/>
          <w:szCs w:val="24"/>
        </w:rPr>
        <w:t>USADEs</w:t>
      </w:r>
      <w:r w:rsidRPr="00775A79">
        <w:rPr>
          <w:rFonts w:eastAsia="Arial Unicode MS" w:cs="Arial"/>
          <w:color w:val="000000"/>
          <w:szCs w:val="24"/>
        </w:rPr>
        <w:t xml:space="preserve"> </w:t>
      </w:r>
      <w:r w:rsidRPr="00775A79">
        <w:rPr>
          <w:rFonts w:eastAsia="Arial Unicode MS" w:cs="Arial"/>
          <w:b/>
          <w:color w:val="000000"/>
          <w:szCs w:val="24"/>
        </w:rPr>
        <w:t>must</w:t>
      </w:r>
      <w:r w:rsidRPr="00775A79">
        <w:rPr>
          <w:rFonts w:eastAsia="Arial Unicode MS" w:cs="Arial"/>
          <w:color w:val="000000"/>
          <w:szCs w:val="24"/>
        </w:rPr>
        <w:t xml:space="preserve"> be reported to the sponsor office within 24 hours of the research team becoming aware of the event. You must also follow up the report with a telephone call or email marked ‘urgent’ to the sponsor.   The Trust’s Device SAE report form is provided at the start of your trial. This must be used to record and report events to the sponsor. </w:t>
      </w:r>
    </w:p>
    <w:p w14:paraId="0DD2BE47" w14:textId="77777777" w:rsidR="008F6A64" w:rsidRDefault="008F6A64" w:rsidP="008F6A64">
      <w:pPr>
        <w:pStyle w:val="ListParagraph"/>
        <w:numPr>
          <w:ilvl w:val="2"/>
          <w:numId w:val="21"/>
        </w:numPr>
        <w:spacing w:after="240"/>
        <w:ind w:left="1701" w:hanging="850"/>
        <w:rPr>
          <w:rFonts w:ascii="Arial" w:hAnsi="Arial" w:cs="Arial"/>
          <w:sz w:val="24"/>
          <w:szCs w:val="24"/>
        </w:rPr>
      </w:pPr>
      <w:r w:rsidRPr="008F6A64">
        <w:rPr>
          <w:rFonts w:ascii="Arial" w:hAnsi="Arial" w:cs="Arial"/>
          <w:sz w:val="24"/>
          <w:szCs w:val="24"/>
        </w:rPr>
        <w:t>The Trust as sponsor will report the USADE to the MHRA within 2 calendar days after receiving a Device SAE report from the research team</w:t>
      </w:r>
      <w:r w:rsidR="003651E5">
        <w:rPr>
          <w:rFonts w:ascii="Arial" w:hAnsi="Arial" w:cs="Arial"/>
          <w:sz w:val="24"/>
          <w:szCs w:val="24"/>
        </w:rPr>
        <w:t xml:space="preserve"> (where there was risk of death, serious injury or serious illness</w:t>
      </w:r>
      <w:r w:rsidR="008C3BAE">
        <w:rPr>
          <w:rFonts w:ascii="Arial" w:hAnsi="Arial" w:cs="Arial"/>
          <w:sz w:val="24"/>
          <w:szCs w:val="24"/>
        </w:rPr>
        <w:t xml:space="preserve"> that required prompt remedial action for other patients/subjects, users or other persons</w:t>
      </w:r>
      <w:r w:rsidR="003651E5">
        <w:rPr>
          <w:rFonts w:ascii="Arial" w:hAnsi="Arial" w:cs="Arial"/>
          <w:sz w:val="24"/>
          <w:szCs w:val="24"/>
        </w:rPr>
        <w:t>) or 7 days where there was no such risk identified</w:t>
      </w:r>
      <w:r w:rsidRPr="008F6A64">
        <w:rPr>
          <w:rFonts w:ascii="Arial" w:hAnsi="Arial" w:cs="Arial"/>
          <w:sz w:val="24"/>
          <w:szCs w:val="24"/>
        </w:rPr>
        <w:t>.</w:t>
      </w:r>
    </w:p>
    <w:p w14:paraId="68DA4F54" w14:textId="77777777" w:rsidR="008F6A64" w:rsidRPr="003651E5" w:rsidRDefault="003651E5" w:rsidP="003651E5">
      <w:pPr>
        <w:spacing w:after="240"/>
        <w:ind w:left="1701" w:hanging="850"/>
        <w:rPr>
          <w:rFonts w:cs="Arial"/>
          <w:szCs w:val="24"/>
        </w:rPr>
      </w:pPr>
      <w:r>
        <w:rPr>
          <w:rFonts w:eastAsia="Arial Unicode MS" w:cs="Arial"/>
          <w:b/>
          <w:color w:val="000000"/>
          <w:szCs w:val="24"/>
        </w:rPr>
        <w:lastRenderedPageBreak/>
        <w:t>5.3.4</w:t>
      </w:r>
      <w:r w:rsidR="008F6A64" w:rsidRPr="003651E5">
        <w:rPr>
          <w:rFonts w:eastAsia="Arial Unicode MS" w:cs="Arial"/>
          <w:b/>
          <w:color w:val="000000"/>
          <w:szCs w:val="24"/>
        </w:rPr>
        <w:tab/>
      </w:r>
      <w:r w:rsidR="008F6A64" w:rsidRPr="003651E5">
        <w:rPr>
          <w:rFonts w:eastAsia="Arial Unicode MS" w:cs="Arial"/>
          <w:color w:val="000000"/>
          <w:szCs w:val="24"/>
        </w:rPr>
        <w:t>USADEs must be emailed to the relevant Research Ethics Committee (REC) within 15 days of the CI becoming aware of the event. This is delegated to the CI by MFT, unless otherwise stated.</w:t>
      </w:r>
    </w:p>
    <w:p w14:paraId="1A2249CC" w14:textId="77777777" w:rsidR="00383257" w:rsidRDefault="00775A79" w:rsidP="00775A79">
      <w:pPr>
        <w:ind w:left="1701" w:hanging="850"/>
        <w:rPr>
          <w:rFonts w:eastAsia="Arial Unicode MS" w:cs="Arial"/>
          <w:color w:val="000000"/>
          <w:szCs w:val="24"/>
        </w:rPr>
      </w:pPr>
      <w:r w:rsidRPr="00775A79">
        <w:rPr>
          <w:rFonts w:eastAsia="Arial Unicode MS" w:cs="Arial"/>
          <w:b/>
          <w:color w:val="000000"/>
          <w:szCs w:val="24"/>
        </w:rPr>
        <w:t>5.3.</w:t>
      </w:r>
      <w:r w:rsidR="003651E5">
        <w:rPr>
          <w:rFonts w:eastAsia="Arial Unicode MS" w:cs="Arial"/>
          <w:b/>
          <w:color w:val="000000"/>
          <w:szCs w:val="24"/>
        </w:rPr>
        <w:t>5</w:t>
      </w:r>
      <w:r w:rsidRPr="00775A79">
        <w:rPr>
          <w:rFonts w:eastAsia="Arial Unicode MS" w:cs="Arial"/>
          <w:b/>
          <w:color w:val="000000"/>
          <w:szCs w:val="24"/>
        </w:rPr>
        <w:tab/>
      </w:r>
      <w:r w:rsidRPr="006A15B6">
        <w:rPr>
          <w:rFonts w:eastAsia="Arial Unicode MS" w:cs="Arial"/>
          <w:color w:val="000000"/>
          <w:szCs w:val="24"/>
        </w:rPr>
        <w:t xml:space="preserve">For multi-site trials, </w:t>
      </w:r>
      <w:r w:rsidR="003651E5">
        <w:rPr>
          <w:rFonts w:eastAsia="Arial Unicode MS" w:cs="Arial"/>
          <w:color w:val="000000"/>
          <w:szCs w:val="24"/>
        </w:rPr>
        <w:t>5.3.1-5.3.3</w:t>
      </w:r>
      <w:r w:rsidRPr="006A15B6">
        <w:rPr>
          <w:rFonts w:eastAsia="Arial Unicode MS" w:cs="Arial"/>
          <w:color w:val="000000"/>
          <w:szCs w:val="24"/>
        </w:rPr>
        <w:t xml:space="preserve"> </w:t>
      </w:r>
      <w:r w:rsidRPr="008F6A64">
        <w:rPr>
          <w:rFonts w:eastAsia="Arial Unicode MS" w:cs="Arial"/>
          <w:color w:val="000000"/>
          <w:szCs w:val="24"/>
        </w:rPr>
        <w:t xml:space="preserve">must </w:t>
      </w:r>
      <w:r w:rsidRPr="006A15B6">
        <w:rPr>
          <w:rFonts w:eastAsia="Arial Unicode MS" w:cs="Arial"/>
          <w:color w:val="000000"/>
          <w:szCs w:val="24"/>
        </w:rPr>
        <w:t xml:space="preserve">be followed for </w:t>
      </w:r>
      <w:r>
        <w:rPr>
          <w:rFonts w:eastAsia="Arial Unicode MS" w:cs="Arial"/>
          <w:color w:val="000000"/>
          <w:szCs w:val="24"/>
        </w:rPr>
        <w:t>USADEs</w:t>
      </w:r>
      <w:r w:rsidRPr="006A15B6">
        <w:rPr>
          <w:rFonts w:eastAsia="Arial Unicode MS" w:cs="Arial"/>
          <w:color w:val="000000"/>
          <w:szCs w:val="24"/>
        </w:rPr>
        <w:t xml:space="preserve"> occurring at any site.</w:t>
      </w:r>
    </w:p>
    <w:p w14:paraId="3075C963" w14:textId="77777777" w:rsidR="00775A79" w:rsidRDefault="00775A79" w:rsidP="00775A79">
      <w:pPr>
        <w:ind w:left="1701" w:hanging="850"/>
        <w:rPr>
          <w:rFonts w:eastAsia="Arial Unicode MS" w:cs="Arial"/>
          <w:color w:val="000000"/>
          <w:szCs w:val="24"/>
        </w:rPr>
      </w:pPr>
    </w:p>
    <w:p w14:paraId="31BBB03C" w14:textId="77777777" w:rsidR="00775A79" w:rsidRDefault="00775A79" w:rsidP="00775A79">
      <w:pPr>
        <w:tabs>
          <w:tab w:val="left" w:pos="1418"/>
        </w:tabs>
        <w:spacing w:after="240"/>
        <w:ind w:left="1701" w:hanging="850"/>
        <w:rPr>
          <w:rFonts w:eastAsia="Arial Unicode MS" w:cs="Arial"/>
          <w:color w:val="000000"/>
          <w:szCs w:val="24"/>
        </w:rPr>
      </w:pPr>
      <w:r w:rsidRPr="004E68FF">
        <w:rPr>
          <w:rFonts w:eastAsia="Arial Unicode MS" w:cs="Arial"/>
          <w:b/>
          <w:color w:val="000000"/>
          <w:szCs w:val="24"/>
        </w:rPr>
        <w:t>5.</w:t>
      </w:r>
      <w:r>
        <w:rPr>
          <w:rFonts w:eastAsia="Arial Unicode MS" w:cs="Arial"/>
          <w:b/>
          <w:color w:val="000000"/>
          <w:szCs w:val="24"/>
        </w:rPr>
        <w:t>3</w:t>
      </w:r>
      <w:r w:rsidRPr="004E68FF">
        <w:rPr>
          <w:rFonts w:eastAsia="Arial Unicode MS" w:cs="Arial"/>
          <w:b/>
          <w:color w:val="000000"/>
          <w:szCs w:val="24"/>
        </w:rPr>
        <w:t>.</w:t>
      </w:r>
      <w:r w:rsidR="003651E5">
        <w:rPr>
          <w:rFonts w:eastAsia="Arial Unicode MS" w:cs="Arial"/>
          <w:b/>
          <w:color w:val="000000"/>
          <w:szCs w:val="24"/>
        </w:rPr>
        <w:t>6</w:t>
      </w:r>
      <w:r>
        <w:rPr>
          <w:rFonts w:eastAsia="Arial Unicode MS" w:cs="Arial"/>
          <w:color w:val="000000"/>
          <w:szCs w:val="24"/>
        </w:rPr>
        <w:tab/>
      </w:r>
      <w:r>
        <w:rPr>
          <w:rFonts w:eastAsia="Arial Unicode MS" w:cs="Arial"/>
          <w:color w:val="000000"/>
          <w:szCs w:val="24"/>
        </w:rPr>
        <w:tab/>
      </w:r>
      <w:r w:rsidRPr="009B2018">
        <w:rPr>
          <w:rFonts w:eastAsia="Arial Unicode MS" w:cs="Arial"/>
          <w:color w:val="000000"/>
          <w:szCs w:val="24"/>
        </w:rPr>
        <w:t>Complete the Adverse Event page in the CRF.  A standard Trust Device AE reporting form is provided and should be used to record events.</w:t>
      </w:r>
      <w:r>
        <w:rPr>
          <w:rFonts w:eastAsia="Arial Unicode MS" w:cs="Arial"/>
          <w:color w:val="000000"/>
          <w:szCs w:val="24"/>
        </w:rPr>
        <w:t xml:space="preserve"> </w:t>
      </w:r>
    </w:p>
    <w:p w14:paraId="0864BC66" w14:textId="77777777" w:rsidR="00775A79" w:rsidRPr="006A15B6" w:rsidRDefault="00775A79" w:rsidP="00775A79">
      <w:pPr>
        <w:tabs>
          <w:tab w:val="left" w:pos="1418"/>
        </w:tabs>
        <w:spacing w:after="240"/>
        <w:ind w:left="1701" w:hanging="850"/>
        <w:rPr>
          <w:rFonts w:cs="Arial"/>
          <w:szCs w:val="24"/>
        </w:rPr>
      </w:pPr>
      <w:r w:rsidRPr="004E68FF">
        <w:rPr>
          <w:rFonts w:eastAsia="Arial Unicode MS" w:cs="Arial"/>
          <w:b/>
          <w:color w:val="000000"/>
          <w:szCs w:val="24"/>
        </w:rPr>
        <w:t>5.</w:t>
      </w:r>
      <w:r w:rsidR="00313547">
        <w:rPr>
          <w:rFonts w:eastAsia="Arial Unicode MS" w:cs="Arial"/>
          <w:b/>
          <w:color w:val="000000"/>
          <w:szCs w:val="24"/>
        </w:rPr>
        <w:t>3</w:t>
      </w:r>
      <w:r w:rsidRPr="004E68FF">
        <w:rPr>
          <w:rFonts w:eastAsia="Arial Unicode MS" w:cs="Arial"/>
          <w:b/>
          <w:color w:val="000000"/>
          <w:szCs w:val="24"/>
        </w:rPr>
        <w:t>.</w:t>
      </w:r>
      <w:r w:rsidR="003651E5">
        <w:rPr>
          <w:rFonts w:eastAsia="Arial Unicode MS" w:cs="Arial"/>
          <w:b/>
          <w:color w:val="000000"/>
          <w:szCs w:val="24"/>
        </w:rPr>
        <w:t>7</w:t>
      </w:r>
      <w:r>
        <w:rPr>
          <w:rFonts w:eastAsia="Arial Unicode MS" w:cs="Arial"/>
          <w:color w:val="000000"/>
          <w:szCs w:val="24"/>
        </w:rPr>
        <w:tab/>
      </w:r>
      <w:r>
        <w:rPr>
          <w:rFonts w:eastAsia="Arial Unicode MS" w:cs="Arial"/>
          <w:color w:val="000000"/>
          <w:szCs w:val="24"/>
        </w:rPr>
        <w:tab/>
      </w:r>
      <w:r w:rsidRPr="000E2916">
        <w:rPr>
          <w:rFonts w:eastAsia="Arial Unicode MS" w:cs="Arial"/>
          <w:color w:val="000000"/>
          <w:szCs w:val="24"/>
        </w:rPr>
        <w:t xml:space="preserve">Enter the </w:t>
      </w:r>
      <w:r>
        <w:rPr>
          <w:rFonts w:eastAsia="Arial Unicode MS" w:cs="Arial"/>
          <w:color w:val="000000"/>
          <w:szCs w:val="24"/>
        </w:rPr>
        <w:t>USADE</w:t>
      </w:r>
      <w:r w:rsidRPr="000E2916">
        <w:rPr>
          <w:rFonts w:eastAsia="Arial Unicode MS" w:cs="Arial"/>
          <w:color w:val="000000"/>
          <w:szCs w:val="24"/>
        </w:rPr>
        <w:t xml:space="preserve"> into the trial adverse event spreadsheet or adverse event log.</w:t>
      </w:r>
      <w:r w:rsidRPr="006A15B6">
        <w:rPr>
          <w:rFonts w:eastAsia="Arial Unicode MS" w:cs="Arial"/>
          <w:color w:val="000000"/>
          <w:szCs w:val="24"/>
        </w:rPr>
        <w:t xml:space="preserve">  This should be made available for </w:t>
      </w:r>
      <w:r>
        <w:rPr>
          <w:rFonts w:eastAsia="Arial Unicode MS" w:cs="Arial"/>
          <w:color w:val="000000"/>
          <w:szCs w:val="24"/>
        </w:rPr>
        <w:t xml:space="preserve">DMC, </w:t>
      </w:r>
      <w:r w:rsidRPr="006A15B6">
        <w:rPr>
          <w:rFonts w:eastAsia="Arial Unicode MS" w:cs="Arial"/>
          <w:color w:val="000000"/>
          <w:szCs w:val="24"/>
        </w:rPr>
        <w:t>TSC</w:t>
      </w:r>
      <w:r>
        <w:rPr>
          <w:rFonts w:eastAsia="Arial Unicode MS" w:cs="Arial"/>
          <w:color w:val="000000"/>
          <w:szCs w:val="24"/>
        </w:rPr>
        <w:t xml:space="preserve"> </w:t>
      </w:r>
      <w:r w:rsidRPr="006A15B6">
        <w:rPr>
          <w:rFonts w:eastAsia="Arial Unicode MS" w:cs="Arial"/>
          <w:color w:val="000000"/>
          <w:szCs w:val="24"/>
        </w:rPr>
        <w:t xml:space="preserve">and </w:t>
      </w:r>
      <w:r>
        <w:rPr>
          <w:rFonts w:eastAsia="Arial Unicode MS" w:cs="Arial"/>
          <w:color w:val="000000"/>
          <w:szCs w:val="24"/>
        </w:rPr>
        <w:t xml:space="preserve">SAGO </w:t>
      </w:r>
      <w:r w:rsidRPr="006A15B6">
        <w:rPr>
          <w:rFonts w:eastAsia="Arial Unicode MS" w:cs="Arial"/>
          <w:color w:val="000000"/>
          <w:szCs w:val="24"/>
        </w:rPr>
        <w:t>review.</w:t>
      </w:r>
    </w:p>
    <w:p w14:paraId="1B9C5D4A" w14:textId="77777777" w:rsidR="00775A79" w:rsidRPr="00313547" w:rsidRDefault="00775A79" w:rsidP="00313547">
      <w:pPr>
        <w:tabs>
          <w:tab w:val="left" w:pos="851"/>
        </w:tabs>
        <w:spacing w:after="240"/>
        <w:ind w:left="1701" w:hanging="850"/>
        <w:rPr>
          <w:rFonts w:cs="Arial"/>
          <w:szCs w:val="24"/>
        </w:rPr>
      </w:pPr>
      <w:r>
        <w:rPr>
          <w:rFonts w:eastAsia="Arial Unicode MS" w:cs="Arial"/>
          <w:b/>
          <w:color w:val="000000"/>
          <w:szCs w:val="24"/>
        </w:rPr>
        <w:t>5.</w:t>
      </w:r>
      <w:r w:rsidR="00313547">
        <w:rPr>
          <w:rFonts w:eastAsia="Arial Unicode MS" w:cs="Arial"/>
          <w:b/>
          <w:color w:val="000000"/>
          <w:szCs w:val="24"/>
        </w:rPr>
        <w:t>3</w:t>
      </w:r>
      <w:r>
        <w:rPr>
          <w:rFonts w:eastAsia="Arial Unicode MS" w:cs="Arial"/>
          <w:b/>
          <w:color w:val="000000"/>
          <w:szCs w:val="24"/>
        </w:rPr>
        <w:t>.</w:t>
      </w:r>
      <w:r w:rsidR="003651E5">
        <w:rPr>
          <w:rFonts w:eastAsia="Arial Unicode MS" w:cs="Arial"/>
          <w:b/>
          <w:color w:val="000000"/>
          <w:szCs w:val="24"/>
        </w:rPr>
        <w:t>8</w:t>
      </w:r>
      <w:r>
        <w:rPr>
          <w:rFonts w:eastAsia="Arial Unicode MS" w:cs="Arial"/>
          <w:b/>
          <w:color w:val="000000"/>
          <w:szCs w:val="24"/>
        </w:rPr>
        <w:tab/>
      </w:r>
      <w:r w:rsidR="003651E5" w:rsidRPr="006A15B6">
        <w:rPr>
          <w:rFonts w:eastAsia="Arial Unicode MS" w:cs="Arial"/>
          <w:color w:val="000000"/>
          <w:szCs w:val="24"/>
        </w:rPr>
        <w:t xml:space="preserve">If the </w:t>
      </w:r>
      <w:r w:rsidR="003651E5">
        <w:rPr>
          <w:rFonts w:eastAsia="Arial Unicode MS" w:cs="Arial"/>
          <w:color w:val="000000"/>
          <w:szCs w:val="24"/>
        </w:rPr>
        <w:t>USADE</w:t>
      </w:r>
      <w:r w:rsidR="003651E5" w:rsidRPr="006A15B6">
        <w:rPr>
          <w:rFonts w:eastAsia="Arial Unicode MS" w:cs="Arial"/>
          <w:color w:val="000000"/>
          <w:szCs w:val="24"/>
        </w:rPr>
        <w:t xml:space="preserve"> is ongoing at the time of completing the initial report, it should be followed up and documented in the patient medical records at subsequent study visits until resolved, returned to baseline, or stabilised.  Follow up reports should be sent periodically or at the sponsor’s request until the event is resolved.</w:t>
      </w:r>
      <w:r w:rsidR="003651E5">
        <w:rPr>
          <w:rFonts w:eastAsia="Arial Unicode MS" w:cs="Arial"/>
          <w:color w:val="000000"/>
          <w:szCs w:val="24"/>
        </w:rPr>
        <w:t xml:space="preserve"> The Trust will report new information to the MHRA within 2 calendar days of being informed (</w:t>
      </w:r>
      <w:r w:rsidR="003651E5">
        <w:rPr>
          <w:rFonts w:cs="Arial"/>
          <w:szCs w:val="24"/>
        </w:rPr>
        <w:t>where there was risk of death, serious injury or serious illness</w:t>
      </w:r>
      <w:r w:rsidR="008C3BAE">
        <w:rPr>
          <w:rFonts w:cs="Arial"/>
          <w:szCs w:val="24"/>
        </w:rPr>
        <w:t xml:space="preserve"> that required prompt remedial action for other patients/subjects, users or other persons</w:t>
      </w:r>
      <w:r w:rsidR="003651E5">
        <w:rPr>
          <w:rFonts w:cs="Arial"/>
          <w:szCs w:val="24"/>
        </w:rPr>
        <w:t>) or 7 days where there was no such risk identified</w:t>
      </w:r>
      <w:r w:rsidR="003651E5">
        <w:rPr>
          <w:rFonts w:eastAsia="Arial Unicode MS" w:cs="Arial"/>
          <w:color w:val="000000"/>
          <w:szCs w:val="24"/>
        </w:rPr>
        <w:t>.</w:t>
      </w:r>
    </w:p>
    <w:p w14:paraId="58B39741" w14:textId="77777777" w:rsidR="00775A79" w:rsidRDefault="00775A79" w:rsidP="00775A79">
      <w:pPr>
        <w:spacing w:after="240"/>
        <w:ind w:left="1701" w:hanging="850"/>
        <w:rPr>
          <w:rFonts w:eastAsia="Arial Unicode MS" w:cs="Arial"/>
          <w:color w:val="000000"/>
          <w:szCs w:val="24"/>
        </w:rPr>
      </w:pPr>
      <w:r>
        <w:rPr>
          <w:rFonts w:eastAsia="Arial Unicode MS" w:cs="Arial"/>
          <w:b/>
          <w:color w:val="000000"/>
          <w:szCs w:val="24"/>
        </w:rPr>
        <w:t>5.</w:t>
      </w:r>
      <w:r w:rsidR="00313547">
        <w:rPr>
          <w:rFonts w:eastAsia="Arial Unicode MS" w:cs="Arial"/>
          <w:b/>
          <w:color w:val="000000"/>
          <w:szCs w:val="24"/>
        </w:rPr>
        <w:t>3</w:t>
      </w:r>
      <w:r>
        <w:rPr>
          <w:rFonts w:eastAsia="Arial Unicode MS" w:cs="Arial"/>
          <w:b/>
          <w:color w:val="000000"/>
          <w:szCs w:val="24"/>
        </w:rPr>
        <w:t>.</w:t>
      </w:r>
      <w:r w:rsidR="003651E5">
        <w:rPr>
          <w:rFonts w:eastAsia="Arial Unicode MS" w:cs="Arial"/>
          <w:b/>
          <w:color w:val="000000"/>
          <w:szCs w:val="24"/>
        </w:rPr>
        <w:t>9</w:t>
      </w:r>
      <w:r>
        <w:rPr>
          <w:rFonts w:eastAsia="Arial Unicode MS" w:cs="Arial"/>
          <w:b/>
          <w:color w:val="000000"/>
          <w:szCs w:val="24"/>
        </w:rPr>
        <w:tab/>
      </w:r>
      <w:r w:rsidR="00313547">
        <w:rPr>
          <w:rFonts w:eastAsia="Arial Unicode MS" w:cs="Arial"/>
          <w:color w:val="000000"/>
          <w:szCs w:val="24"/>
        </w:rPr>
        <w:t>USADEs</w:t>
      </w:r>
      <w:r>
        <w:rPr>
          <w:rFonts w:eastAsia="Arial Unicode MS" w:cs="Arial"/>
          <w:color w:val="000000"/>
          <w:szCs w:val="24"/>
        </w:rPr>
        <w:t xml:space="preserve"> that are ongoing at the end of a participant’s involvement in the trial should be followed up as detailed in the protocol, or for 30 days if this is not specified.</w:t>
      </w:r>
    </w:p>
    <w:p w14:paraId="7CBE7B5E" w14:textId="77777777" w:rsidR="00313547" w:rsidRPr="00313547" w:rsidRDefault="00775A79" w:rsidP="00775A79">
      <w:pPr>
        <w:spacing w:after="240"/>
        <w:ind w:left="1701" w:hanging="850"/>
        <w:rPr>
          <w:rFonts w:eastAsia="Arial Unicode MS" w:cs="Arial"/>
          <w:color w:val="000000"/>
          <w:szCs w:val="24"/>
        </w:rPr>
      </w:pPr>
      <w:r>
        <w:rPr>
          <w:rFonts w:eastAsia="Arial Unicode MS" w:cs="Arial"/>
          <w:b/>
          <w:color w:val="000000"/>
          <w:szCs w:val="24"/>
        </w:rPr>
        <w:t>5.</w:t>
      </w:r>
      <w:r w:rsidR="00313547">
        <w:rPr>
          <w:rFonts w:eastAsia="Arial Unicode MS" w:cs="Arial"/>
          <w:b/>
          <w:color w:val="000000"/>
          <w:szCs w:val="24"/>
        </w:rPr>
        <w:t>3</w:t>
      </w:r>
      <w:r>
        <w:rPr>
          <w:rFonts w:eastAsia="Arial Unicode MS" w:cs="Arial"/>
          <w:b/>
          <w:color w:val="000000"/>
          <w:szCs w:val="24"/>
        </w:rPr>
        <w:t>.1</w:t>
      </w:r>
      <w:r w:rsidR="003651E5">
        <w:rPr>
          <w:rFonts w:eastAsia="Arial Unicode MS" w:cs="Arial"/>
          <w:b/>
          <w:color w:val="000000"/>
          <w:szCs w:val="24"/>
        </w:rPr>
        <w:t>0</w:t>
      </w:r>
      <w:r>
        <w:rPr>
          <w:rFonts w:eastAsia="Arial Unicode MS" w:cs="Arial"/>
          <w:b/>
          <w:color w:val="000000"/>
          <w:szCs w:val="24"/>
        </w:rPr>
        <w:tab/>
      </w:r>
      <w:r w:rsidR="00313547">
        <w:rPr>
          <w:rFonts w:eastAsia="Arial Unicode MS" w:cs="Arial"/>
          <w:color w:val="000000"/>
          <w:szCs w:val="24"/>
        </w:rPr>
        <w:t>USADEs that are identified after a patient has completed a trial should be reported as outlined above.</w:t>
      </w:r>
    </w:p>
    <w:p w14:paraId="328FAE6D" w14:textId="77777777" w:rsidR="00775A79" w:rsidRPr="004E68FF" w:rsidRDefault="00313547" w:rsidP="00313547">
      <w:pPr>
        <w:spacing w:after="240"/>
        <w:ind w:left="1701" w:hanging="850"/>
        <w:rPr>
          <w:rFonts w:cs="Arial"/>
          <w:szCs w:val="24"/>
        </w:rPr>
      </w:pPr>
      <w:r w:rsidRPr="00313547">
        <w:rPr>
          <w:rFonts w:eastAsia="Arial Unicode MS" w:cs="Arial"/>
          <w:b/>
          <w:color w:val="000000"/>
          <w:szCs w:val="24"/>
        </w:rPr>
        <w:t>5.3.1</w:t>
      </w:r>
      <w:r w:rsidR="003651E5">
        <w:rPr>
          <w:rFonts w:eastAsia="Arial Unicode MS" w:cs="Arial"/>
          <w:b/>
          <w:color w:val="000000"/>
          <w:szCs w:val="24"/>
        </w:rPr>
        <w:t>1</w:t>
      </w:r>
      <w:r w:rsidRPr="00313547">
        <w:rPr>
          <w:rFonts w:eastAsia="Arial Unicode MS" w:cs="Arial"/>
          <w:b/>
          <w:color w:val="000000"/>
          <w:szCs w:val="24"/>
        </w:rPr>
        <w:tab/>
      </w:r>
      <w:r w:rsidR="00775A79" w:rsidRPr="003651E5">
        <w:rPr>
          <w:rFonts w:eastAsia="Arial Unicode MS" w:cs="Arial"/>
          <w:color w:val="000000"/>
          <w:szCs w:val="24"/>
        </w:rPr>
        <w:t xml:space="preserve">All </w:t>
      </w:r>
      <w:r w:rsidRPr="003651E5">
        <w:rPr>
          <w:rFonts w:eastAsia="Arial Unicode MS" w:cs="Arial"/>
          <w:color w:val="000000"/>
          <w:szCs w:val="24"/>
        </w:rPr>
        <w:t>USADEs</w:t>
      </w:r>
      <w:r w:rsidR="00775A79" w:rsidRPr="003651E5">
        <w:rPr>
          <w:rFonts w:eastAsia="Arial Unicode MS" w:cs="Arial"/>
          <w:color w:val="000000"/>
          <w:szCs w:val="24"/>
        </w:rPr>
        <w:t xml:space="preserve"> must be recorded in a line listi</w:t>
      </w:r>
      <w:r w:rsidR="003651E5" w:rsidRPr="003651E5">
        <w:rPr>
          <w:rFonts w:eastAsia="Arial Unicode MS" w:cs="Arial"/>
          <w:color w:val="000000"/>
          <w:szCs w:val="24"/>
        </w:rPr>
        <w:t>ng format for inclusion in the annual</w:t>
      </w:r>
      <w:r w:rsidR="003651E5">
        <w:rPr>
          <w:rFonts w:eastAsia="Arial Unicode MS" w:cs="Arial"/>
          <w:color w:val="000000"/>
          <w:szCs w:val="24"/>
        </w:rPr>
        <w:t xml:space="preserve"> progress report and any summary reports required by the MHRA.</w:t>
      </w:r>
    </w:p>
    <w:p w14:paraId="4D234704" w14:textId="77777777" w:rsidR="00775A79" w:rsidRDefault="00775A79" w:rsidP="00775A79">
      <w:pPr>
        <w:ind w:left="1701" w:hanging="850"/>
        <w:rPr>
          <w:rFonts w:eastAsia="Arial Unicode MS" w:cs="Arial"/>
          <w:color w:val="000000"/>
          <w:szCs w:val="24"/>
        </w:rPr>
      </w:pPr>
      <w:r w:rsidRPr="004E68FF">
        <w:rPr>
          <w:rFonts w:eastAsia="Arial Unicode MS" w:cs="Arial"/>
          <w:b/>
          <w:color w:val="000000"/>
          <w:szCs w:val="24"/>
        </w:rPr>
        <w:t>5.</w:t>
      </w:r>
      <w:r w:rsidR="00313547">
        <w:rPr>
          <w:rFonts w:eastAsia="Arial Unicode MS" w:cs="Arial"/>
          <w:b/>
          <w:color w:val="000000"/>
          <w:szCs w:val="24"/>
        </w:rPr>
        <w:t>3</w:t>
      </w:r>
      <w:r w:rsidRPr="004E68FF">
        <w:rPr>
          <w:rFonts w:eastAsia="Arial Unicode MS" w:cs="Arial"/>
          <w:b/>
          <w:color w:val="000000"/>
          <w:szCs w:val="24"/>
        </w:rPr>
        <w:t>.1</w:t>
      </w:r>
      <w:r w:rsidR="003651E5">
        <w:rPr>
          <w:rFonts w:eastAsia="Arial Unicode MS" w:cs="Arial"/>
          <w:b/>
          <w:color w:val="000000"/>
          <w:szCs w:val="24"/>
        </w:rPr>
        <w:t>2</w:t>
      </w:r>
      <w:r w:rsidRPr="004E68FF">
        <w:rPr>
          <w:rFonts w:eastAsia="Arial Unicode MS" w:cs="Arial"/>
          <w:b/>
          <w:color w:val="000000"/>
          <w:szCs w:val="24"/>
        </w:rPr>
        <w:tab/>
      </w:r>
      <w:r w:rsidR="00313547" w:rsidRPr="00063EF3">
        <w:rPr>
          <w:rFonts w:eastAsia="Arial Unicode MS" w:cs="Arial"/>
          <w:color w:val="000000"/>
          <w:szCs w:val="24"/>
        </w:rPr>
        <w:t>USADE</w:t>
      </w:r>
      <w:r w:rsidRPr="00063EF3">
        <w:rPr>
          <w:rFonts w:eastAsia="Arial Unicode MS" w:cs="Arial"/>
          <w:color w:val="000000"/>
          <w:szCs w:val="24"/>
        </w:rPr>
        <w:t>s that result in the subject withdrawing - or being withdrawn - from the study must be recorded for inclusion in the annual progress report submitted to the REC.</w:t>
      </w:r>
    </w:p>
    <w:p w14:paraId="5D683FDD" w14:textId="77777777" w:rsidR="006A23FA" w:rsidRDefault="006A23FA" w:rsidP="00775A79">
      <w:pPr>
        <w:ind w:left="1701" w:hanging="850"/>
        <w:rPr>
          <w:rFonts w:eastAsia="Arial Unicode MS" w:cs="Arial"/>
          <w:color w:val="000000"/>
          <w:szCs w:val="24"/>
        </w:rPr>
      </w:pPr>
    </w:p>
    <w:p w14:paraId="0366F235" w14:textId="77777777" w:rsidR="006A23FA" w:rsidRDefault="006A23FA" w:rsidP="00775A79">
      <w:pPr>
        <w:ind w:left="1701" w:hanging="850"/>
        <w:rPr>
          <w:rFonts w:eastAsia="Arial Unicode MS" w:cs="Arial"/>
          <w:color w:val="000000"/>
          <w:szCs w:val="24"/>
        </w:rPr>
      </w:pPr>
      <w:r w:rsidRPr="006A23FA">
        <w:rPr>
          <w:rFonts w:eastAsia="Arial Unicode MS" w:cs="Arial"/>
          <w:b/>
          <w:color w:val="000000"/>
          <w:szCs w:val="24"/>
        </w:rPr>
        <w:t>5.3.13</w:t>
      </w:r>
      <w:r>
        <w:rPr>
          <w:rFonts w:eastAsia="Arial Unicode MS" w:cs="Arial"/>
          <w:color w:val="000000"/>
          <w:szCs w:val="24"/>
        </w:rPr>
        <w:tab/>
        <w:t>In multi-centre trials, all participating sites must be informed of USADEs and any associated urgent safety measures required (see section 5.5) without delay. This will usually be conducted by the Research office, but may be delegated to a member of the team or a third party vendor such as a Clinical Trials Unit (CTU).</w:t>
      </w:r>
    </w:p>
    <w:p w14:paraId="1F668477" w14:textId="77777777" w:rsidR="00775A79" w:rsidRDefault="00775A79" w:rsidP="00775A79">
      <w:pPr>
        <w:ind w:left="426"/>
        <w:rPr>
          <w:rFonts w:eastAsia="Arial Unicode MS"/>
          <w:b/>
        </w:rPr>
      </w:pPr>
    </w:p>
    <w:p w14:paraId="3AF49F53" w14:textId="77777777" w:rsidR="00900CBC" w:rsidRPr="00900CBC" w:rsidRDefault="00900CBC" w:rsidP="00900CBC">
      <w:pPr>
        <w:ind w:left="426"/>
        <w:rPr>
          <w:rFonts w:eastAsia="Arial Unicode MS"/>
          <w:b/>
        </w:rPr>
      </w:pPr>
      <w:r w:rsidRPr="00900CBC">
        <w:rPr>
          <w:rFonts w:eastAsia="Arial Unicode MS"/>
          <w:b/>
        </w:rPr>
        <w:t>5.</w:t>
      </w:r>
      <w:r>
        <w:rPr>
          <w:rFonts w:eastAsia="Arial Unicode MS"/>
          <w:b/>
        </w:rPr>
        <w:t>4</w:t>
      </w:r>
      <w:r>
        <w:rPr>
          <w:rFonts w:eastAsia="Arial Unicode MS"/>
          <w:b/>
        </w:rPr>
        <w:tab/>
      </w:r>
      <w:r w:rsidRPr="00900CBC">
        <w:rPr>
          <w:rFonts w:eastAsia="Arial Unicode MS"/>
          <w:b/>
        </w:rPr>
        <w:t>Device Deficiency</w:t>
      </w:r>
    </w:p>
    <w:p w14:paraId="559101AD" w14:textId="77777777" w:rsidR="00900CBC" w:rsidRDefault="00063EF3" w:rsidP="00383257">
      <w:pPr>
        <w:ind w:left="426"/>
        <w:rPr>
          <w:rFonts w:eastAsia="Arial Unicode MS"/>
        </w:rPr>
      </w:pPr>
      <w:r>
        <w:rPr>
          <w:rFonts w:eastAsia="Arial Unicode MS"/>
        </w:rPr>
        <w:t xml:space="preserve">In addition to events and effects as described in 5.1 to 5.3, device deficiencies are also reportable to the MHRA, where they may have led to an SAE in other circumstances (see section 4.4 for definition). </w:t>
      </w:r>
    </w:p>
    <w:p w14:paraId="36FA3179" w14:textId="77777777" w:rsidR="009B2018" w:rsidRDefault="009B2018" w:rsidP="00383257">
      <w:pPr>
        <w:ind w:left="426"/>
        <w:rPr>
          <w:rFonts w:eastAsia="Arial Unicode MS"/>
        </w:rPr>
      </w:pPr>
    </w:p>
    <w:p w14:paraId="3748D0D0" w14:textId="77777777" w:rsidR="009B2018" w:rsidRPr="00775A79" w:rsidRDefault="009B2018" w:rsidP="009B2018">
      <w:pPr>
        <w:pStyle w:val="NoSpacing"/>
        <w:ind w:left="1701" w:hanging="850"/>
      </w:pPr>
      <w:r w:rsidRPr="00775A79">
        <w:rPr>
          <w:rFonts w:eastAsia="Arial Unicode MS"/>
          <w:b/>
        </w:rPr>
        <w:t>5.</w:t>
      </w:r>
      <w:r>
        <w:rPr>
          <w:rFonts w:eastAsia="Arial Unicode MS"/>
          <w:b/>
        </w:rPr>
        <w:t>4</w:t>
      </w:r>
      <w:r w:rsidRPr="00775A79">
        <w:rPr>
          <w:rFonts w:eastAsia="Arial Unicode MS"/>
          <w:b/>
        </w:rPr>
        <w:t>.1</w:t>
      </w:r>
      <w:r w:rsidRPr="00775A79">
        <w:rPr>
          <w:rFonts w:eastAsia="Arial Unicode MS"/>
          <w:b/>
        </w:rPr>
        <w:tab/>
      </w:r>
      <w:r w:rsidRPr="00775A79">
        <w:rPr>
          <w:rFonts w:eastAsia="Arial Unicode MS"/>
        </w:rPr>
        <w:t>Clearly document the following in the patient’s medical record:</w:t>
      </w:r>
    </w:p>
    <w:p w14:paraId="7F7F9DF1" w14:textId="77777777" w:rsidR="009B2018" w:rsidRPr="006A15B6" w:rsidRDefault="009B2018" w:rsidP="009B2018">
      <w:pPr>
        <w:pStyle w:val="NoSpacing"/>
        <w:numPr>
          <w:ilvl w:val="0"/>
          <w:numId w:val="12"/>
        </w:numPr>
        <w:ind w:left="2127" w:hanging="426"/>
        <w:rPr>
          <w:rFonts w:eastAsia="Arial Unicode MS"/>
        </w:rPr>
      </w:pPr>
      <w:r w:rsidRPr="006A15B6">
        <w:rPr>
          <w:rFonts w:eastAsia="Arial Unicode MS"/>
        </w:rPr>
        <w:t xml:space="preserve">The date </w:t>
      </w:r>
      <w:r w:rsidRPr="009B2018">
        <w:rPr>
          <w:rFonts w:eastAsia="Arial Unicode MS"/>
        </w:rPr>
        <w:t>and time</w:t>
      </w:r>
      <w:r w:rsidRPr="006A15B6">
        <w:rPr>
          <w:rFonts w:eastAsia="Arial Unicode MS"/>
        </w:rPr>
        <w:t xml:space="preserve"> of the onset of the </w:t>
      </w:r>
      <w:r>
        <w:rPr>
          <w:rFonts w:eastAsia="Arial Unicode MS"/>
        </w:rPr>
        <w:t>device deficiency</w:t>
      </w:r>
    </w:p>
    <w:p w14:paraId="5DDB1358" w14:textId="77777777" w:rsidR="009B2018" w:rsidRPr="006A15B6" w:rsidRDefault="009B2018" w:rsidP="009B2018">
      <w:pPr>
        <w:pStyle w:val="NoSpacing"/>
        <w:numPr>
          <w:ilvl w:val="0"/>
          <w:numId w:val="12"/>
        </w:numPr>
        <w:ind w:left="2127" w:hanging="426"/>
        <w:rPr>
          <w:rFonts w:eastAsia="Arial Unicode MS"/>
        </w:rPr>
      </w:pPr>
      <w:r>
        <w:t>The nature of the deficiency and any impact on the participant or action required as a result of the deficiency</w:t>
      </w:r>
    </w:p>
    <w:p w14:paraId="38820D48" w14:textId="77777777" w:rsidR="009B2018" w:rsidRPr="006A15B6" w:rsidRDefault="009B2018" w:rsidP="009B2018">
      <w:pPr>
        <w:pStyle w:val="NoSpacing"/>
        <w:numPr>
          <w:ilvl w:val="0"/>
          <w:numId w:val="12"/>
        </w:numPr>
        <w:ind w:left="2127" w:hanging="426"/>
        <w:rPr>
          <w:rFonts w:eastAsia="Arial Unicode MS"/>
        </w:rPr>
      </w:pPr>
      <w:r>
        <w:rPr>
          <w:rFonts w:eastAsia="Arial Unicode MS"/>
        </w:rPr>
        <w:t>Any treatment/</w:t>
      </w:r>
      <w:r w:rsidRPr="006A15B6">
        <w:rPr>
          <w:rFonts w:eastAsia="Arial Unicode MS"/>
        </w:rPr>
        <w:t xml:space="preserve">medication given </w:t>
      </w:r>
      <w:r>
        <w:rPr>
          <w:rFonts w:eastAsia="Arial Unicode MS"/>
        </w:rPr>
        <w:t>to the participant</w:t>
      </w:r>
      <w:r w:rsidRPr="006A15B6">
        <w:rPr>
          <w:rFonts w:eastAsia="Arial Unicode MS"/>
        </w:rPr>
        <w:t>, including dates</w:t>
      </w:r>
    </w:p>
    <w:p w14:paraId="704455B9" w14:textId="77777777" w:rsidR="009B2018" w:rsidRDefault="009B2018" w:rsidP="009B2018">
      <w:pPr>
        <w:pStyle w:val="NoSpacing"/>
        <w:numPr>
          <w:ilvl w:val="0"/>
          <w:numId w:val="12"/>
        </w:numPr>
        <w:ind w:left="2127" w:hanging="426"/>
        <w:rPr>
          <w:rFonts w:eastAsia="Arial Unicode MS"/>
        </w:rPr>
      </w:pPr>
      <w:r w:rsidRPr="006A15B6">
        <w:rPr>
          <w:rFonts w:eastAsia="Arial Unicode MS"/>
        </w:rPr>
        <w:t>The outcome of the episode</w:t>
      </w:r>
    </w:p>
    <w:p w14:paraId="0899A0DB" w14:textId="77777777" w:rsidR="009B2018" w:rsidRPr="006A15B6" w:rsidRDefault="009B2018" w:rsidP="009B2018">
      <w:pPr>
        <w:pStyle w:val="NoSpacing"/>
        <w:ind w:left="720"/>
        <w:rPr>
          <w:rFonts w:eastAsia="Arial Unicode MS"/>
        </w:rPr>
      </w:pPr>
    </w:p>
    <w:p w14:paraId="08BCB4C6" w14:textId="77777777" w:rsidR="009B2018" w:rsidRPr="00900B7C" w:rsidRDefault="009B2018" w:rsidP="009B2018">
      <w:pPr>
        <w:spacing w:after="240"/>
        <w:ind w:left="1701" w:hanging="850"/>
        <w:rPr>
          <w:rFonts w:eastAsia="Arial Unicode MS" w:cs="Arial"/>
          <w:color w:val="000000"/>
          <w:szCs w:val="24"/>
        </w:rPr>
      </w:pPr>
      <w:r w:rsidRPr="00775A79">
        <w:rPr>
          <w:rFonts w:eastAsia="Arial Unicode MS" w:cs="Arial"/>
          <w:b/>
          <w:color w:val="000000"/>
          <w:szCs w:val="24"/>
        </w:rPr>
        <w:t>5.</w:t>
      </w:r>
      <w:r w:rsidR="007555D9">
        <w:rPr>
          <w:rFonts w:eastAsia="Arial Unicode MS" w:cs="Arial"/>
          <w:b/>
          <w:color w:val="000000"/>
          <w:szCs w:val="24"/>
        </w:rPr>
        <w:t>4</w:t>
      </w:r>
      <w:r w:rsidRPr="00775A79">
        <w:rPr>
          <w:rFonts w:eastAsia="Arial Unicode MS" w:cs="Arial"/>
          <w:b/>
          <w:color w:val="000000"/>
          <w:szCs w:val="24"/>
        </w:rPr>
        <w:t>.2</w:t>
      </w:r>
      <w:r>
        <w:rPr>
          <w:rFonts w:eastAsia="Arial Unicode MS" w:cs="Arial"/>
          <w:color w:val="000000"/>
          <w:szCs w:val="24"/>
        </w:rPr>
        <w:tab/>
      </w:r>
      <w:r w:rsidRPr="00775A79">
        <w:rPr>
          <w:rFonts w:eastAsia="Arial Unicode MS" w:cs="Arial"/>
          <w:color w:val="000000"/>
          <w:szCs w:val="24"/>
        </w:rPr>
        <w:t xml:space="preserve">Complete the </w:t>
      </w:r>
      <w:r w:rsidRPr="00900B7C">
        <w:rPr>
          <w:rFonts w:eastAsia="Arial Unicode MS" w:cs="Arial"/>
          <w:color w:val="000000"/>
          <w:szCs w:val="24"/>
        </w:rPr>
        <w:t xml:space="preserve">Device </w:t>
      </w:r>
      <w:r w:rsidR="00A06C19" w:rsidRPr="00900B7C">
        <w:rPr>
          <w:rFonts w:eastAsia="Arial Unicode MS" w:cs="Arial"/>
          <w:color w:val="000000"/>
          <w:szCs w:val="24"/>
        </w:rPr>
        <w:t>Deficiency</w:t>
      </w:r>
      <w:r w:rsidRPr="00900B7C">
        <w:rPr>
          <w:rFonts w:eastAsia="Arial Unicode MS" w:cs="Arial"/>
          <w:color w:val="000000"/>
          <w:szCs w:val="24"/>
        </w:rPr>
        <w:t xml:space="preserve"> </w:t>
      </w:r>
      <w:r w:rsidR="00A06C19" w:rsidRPr="00900B7C">
        <w:rPr>
          <w:rFonts w:eastAsia="Arial Unicode MS" w:cs="Arial"/>
          <w:color w:val="000000"/>
          <w:szCs w:val="24"/>
        </w:rPr>
        <w:t>F</w:t>
      </w:r>
      <w:r w:rsidRPr="00900B7C">
        <w:rPr>
          <w:rFonts w:eastAsia="Arial Unicode MS" w:cs="Arial"/>
          <w:color w:val="000000"/>
          <w:szCs w:val="24"/>
        </w:rPr>
        <w:t xml:space="preserve">orm as soon as possible after becoming aware of the event and send a scanned copy to the Trust’s sponsor office using the email address </w:t>
      </w:r>
      <w:hyperlink r:id="rId11" w:history="1">
        <w:r w:rsidRPr="00900B7C">
          <w:rPr>
            <w:rStyle w:val="Hyperlink"/>
            <w:rFonts w:eastAsia="Arial Unicode MS" w:cs="Arial"/>
            <w:szCs w:val="24"/>
          </w:rPr>
          <w:t>adverse.events@mft.nhs.uk</w:t>
        </w:r>
      </w:hyperlink>
      <w:r w:rsidRPr="00900B7C">
        <w:rPr>
          <w:rFonts w:eastAsia="Arial Unicode MS" w:cs="Arial"/>
          <w:color w:val="000000"/>
          <w:szCs w:val="24"/>
        </w:rPr>
        <w:t xml:space="preserve">.  Device deficiencies </w:t>
      </w:r>
      <w:r w:rsidRPr="00900B7C">
        <w:rPr>
          <w:rFonts w:eastAsia="Arial Unicode MS" w:cs="Arial"/>
          <w:b/>
          <w:color w:val="000000"/>
          <w:szCs w:val="24"/>
        </w:rPr>
        <w:t>must</w:t>
      </w:r>
      <w:r w:rsidRPr="00900B7C">
        <w:rPr>
          <w:rFonts w:eastAsia="Arial Unicode MS" w:cs="Arial"/>
          <w:color w:val="000000"/>
          <w:szCs w:val="24"/>
        </w:rPr>
        <w:t xml:space="preserve"> be reported to the sponsor office within 24 hours of the research team becoming aware of the issue. </w:t>
      </w:r>
      <w:r w:rsidR="00A06C19" w:rsidRPr="00900B7C">
        <w:rPr>
          <w:rFonts w:eastAsia="Arial Unicode MS" w:cs="Arial"/>
          <w:color w:val="000000"/>
          <w:szCs w:val="24"/>
        </w:rPr>
        <w:t>A Device Deficiency Form is provided by the Research Office at the start of the trial.</w:t>
      </w:r>
    </w:p>
    <w:p w14:paraId="4A6FC0C8" w14:textId="77777777" w:rsidR="003651E5" w:rsidRPr="00900B7C" w:rsidRDefault="003651E5" w:rsidP="003651E5">
      <w:pPr>
        <w:pStyle w:val="ListParagraph"/>
        <w:numPr>
          <w:ilvl w:val="2"/>
          <w:numId w:val="22"/>
        </w:numPr>
        <w:spacing w:after="240"/>
        <w:ind w:left="1701" w:hanging="850"/>
        <w:rPr>
          <w:rFonts w:ascii="Arial" w:hAnsi="Arial" w:cs="Arial"/>
          <w:sz w:val="24"/>
          <w:szCs w:val="24"/>
        </w:rPr>
      </w:pPr>
      <w:r w:rsidRPr="00900B7C">
        <w:rPr>
          <w:rFonts w:ascii="Arial" w:hAnsi="Arial" w:cs="Arial"/>
          <w:sz w:val="24"/>
          <w:szCs w:val="24"/>
        </w:rPr>
        <w:t xml:space="preserve">The Trust as sponsor will report the device deficiency to the MHRA within 7 calendar days after receiving a Device </w:t>
      </w:r>
      <w:r w:rsidR="00A06C19" w:rsidRPr="00900B7C">
        <w:rPr>
          <w:rFonts w:ascii="Arial" w:hAnsi="Arial" w:cs="Arial"/>
          <w:sz w:val="24"/>
          <w:szCs w:val="24"/>
        </w:rPr>
        <w:t>Deficiency Form</w:t>
      </w:r>
      <w:r w:rsidRPr="00900B7C">
        <w:rPr>
          <w:rFonts w:ascii="Arial" w:hAnsi="Arial" w:cs="Arial"/>
          <w:sz w:val="24"/>
          <w:szCs w:val="24"/>
        </w:rPr>
        <w:t xml:space="preserve"> from the research team.</w:t>
      </w:r>
    </w:p>
    <w:p w14:paraId="3C43A2FB" w14:textId="77777777" w:rsidR="009B2018" w:rsidRPr="00900B7C" w:rsidRDefault="009B2018" w:rsidP="009B2018">
      <w:pPr>
        <w:ind w:left="1701" w:hanging="850"/>
        <w:rPr>
          <w:rFonts w:eastAsia="Arial Unicode MS" w:cs="Arial"/>
          <w:color w:val="000000"/>
          <w:szCs w:val="24"/>
        </w:rPr>
      </w:pPr>
      <w:r w:rsidRPr="00900B7C">
        <w:rPr>
          <w:rFonts w:eastAsia="Arial Unicode MS" w:cs="Arial"/>
          <w:b/>
          <w:color w:val="000000"/>
          <w:szCs w:val="24"/>
        </w:rPr>
        <w:t>5.</w:t>
      </w:r>
      <w:r w:rsidR="007555D9" w:rsidRPr="00900B7C">
        <w:rPr>
          <w:rFonts w:eastAsia="Arial Unicode MS" w:cs="Arial"/>
          <w:b/>
          <w:color w:val="000000"/>
          <w:szCs w:val="24"/>
        </w:rPr>
        <w:t>4</w:t>
      </w:r>
      <w:r w:rsidRPr="00900B7C">
        <w:rPr>
          <w:rFonts w:eastAsia="Arial Unicode MS" w:cs="Arial"/>
          <w:b/>
          <w:color w:val="000000"/>
          <w:szCs w:val="24"/>
        </w:rPr>
        <w:t>.</w:t>
      </w:r>
      <w:r w:rsidR="00B05906" w:rsidRPr="00900B7C">
        <w:rPr>
          <w:rFonts w:eastAsia="Arial Unicode MS" w:cs="Arial"/>
          <w:b/>
          <w:color w:val="000000"/>
          <w:szCs w:val="24"/>
        </w:rPr>
        <w:t>4</w:t>
      </w:r>
      <w:r w:rsidRPr="00900B7C">
        <w:rPr>
          <w:rFonts w:eastAsia="Arial Unicode MS" w:cs="Arial"/>
          <w:b/>
          <w:color w:val="000000"/>
          <w:szCs w:val="24"/>
        </w:rPr>
        <w:tab/>
      </w:r>
      <w:r w:rsidRPr="00900B7C">
        <w:rPr>
          <w:rFonts w:eastAsia="Arial Unicode MS" w:cs="Arial"/>
          <w:color w:val="000000"/>
          <w:szCs w:val="24"/>
        </w:rPr>
        <w:t xml:space="preserve">For multi-site trials, </w:t>
      </w:r>
      <w:r w:rsidR="003651E5" w:rsidRPr="00900B7C">
        <w:rPr>
          <w:rFonts w:eastAsia="Arial Unicode MS" w:cs="Arial"/>
          <w:color w:val="000000"/>
          <w:szCs w:val="24"/>
        </w:rPr>
        <w:t>5.4.1–5.</w:t>
      </w:r>
      <w:r w:rsidR="00B05906" w:rsidRPr="00900B7C">
        <w:rPr>
          <w:rFonts w:eastAsia="Arial Unicode MS" w:cs="Arial"/>
          <w:color w:val="000000"/>
          <w:szCs w:val="24"/>
        </w:rPr>
        <w:t>4</w:t>
      </w:r>
      <w:r w:rsidR="003651E5" w:rsidRPr="00900B7C">
        <w:rPr>
          <w:rFonts w:eastAsia="Arial Unicode MS" w:cs="Arial"/>
          <w:color w:val="000000"/>
          <w:szCs w:val="24"/>
        </w:rPr>
        <w:t>.</w:t>
      </w:r>
      <w:r w:rsidR="00B05906" w:rsidRPr="00900B7C">
        <w:rPr>
          <w:rFonts w:eastAsia="Arial Unicode MS" w:cs="Arial"/>
          <w:color w:val="000000"/>
          <w:szCs w:val="24"/>
        </w:rPr>
        <w:t>3</w:t>
      </w:r>
      <w:r w:rsidRPr="00900B7C">
        <w:rPr>
          <w:rFonts w:eastAsia="Arial Unicode MS" w:cs="Arial"/>
          <w:color w:val="000000"/>
          <w:szCs w:val="24"/>
        </w:rPr>
        <w:t xml:space="preserve"> must be followed for device deficiencies occurring at any site.</w:t>
      </w:r>
    </w:p>
    <w:p w14:paraId="09D0475C" w14:textId="77777777" w:rsidR="009B2018" w:rsidRPr="00900B7C" w:rsidRDefault="009B2018" w:rsidP="009B2018">
      <w:pPr>
        <w:ind w:left="1701" w:hanging="850"/>
        <w:rPr>
          <w:rFonts w:eastAsia="Arial Unicode MS" w:cs="Arial"/>
          <w:color w:val="000000"/>
          <w:szCs w:val="24"/>
        </w:rPr>
      </w:pPr>
    </w:p>
    <w:p w14:paraId="164E558A" w14:textId="77777777" w:rsidR="009B2018" w:rsidRPr="00900B7C" w:rsidRDefault="009B2018" w:rsidP="009B2018">
      <w:pPr>
        <w:tabs>
          <w:tab w:val="left" w:pos="1418"/>
        </w:tabs>
        <w:spacing w:after="240"/>
        <w:ind w:left="1701" w:hanging="850"/>
        <w:rPr>
          <w:rFonts w:cs="Arial"/>
          <w:szCs w:val="24"/>
        </w:rPr>
      </w:pPr>
      <w:r w:rsidRPr="00900B7C">
        <w:rPr>
          <w:rFonts w:eastAsia="Arial Unicode MS" w:cs="Arial"/>
          <w:b/>
          <w:color w:val="000000"/>
          <w:szCs w:val="24"/>
        </w:rPr>
        <w:t>5.</w:t>
      </w:r>
      <w:r w:rsidR="007555D9" w:rsidRPr="00900B7C">
        <w:rPr>
          <w:rFonts w:eastAsia="Arial Unicode MS" w:cs="Arial"/>
          <w:b/>
          <w:color w:val="000000"/>
          <w:szCs w:val="24"/>
        </w:rPr>
        <w:t>4</w:t>
      </w:r>
      <w:r w:rsidRPr="00900B7C">
        <w:rPr>
          <w:rFonts w:eastAsia="Arial Unicode MS" w:cs="Arial"/>
          <w:b/>
          <w:color w:val="000000"/>
          <w:szCs w:val="24"/>
        </w:rPr>
        <w:t>.</w:t>
      </w:r>
      <w:r w:rsidR="00A06C19" w:rsidRPr="00900B7C">
        <w:rPr>
          <w:rFonts w:eastAsia="Arial Unicode MS" w:cs="Arial"/>
          <w:b/>
          <w:color w:val="000000"/>
          <w:szCs w:val="24"/>
        </w:rPr>
        <w:t>5</w:t>
      </w:r>
      <w:r w:rsidR="00A06C19" w:rsidRPr="00900B7C">
        <w:rPr>
          <w:rFonts w:eastAsia="Arial Unicode MS" w:cs="Arial"/>
          <w:b/>
          <w:color w:val="000000"/>
          <w:szCs w:val="24"/>
        </w:rPr>
        <w:tab/>
      </w:r>
      <w:r w:rsidRPr="00900B7C">
        <w:rPr>
          <w:rFonts w:eastAsia="Arial Unicode MS" w:cs="Arial"/>
          <w:color w:val="000000"/>
          <w:szCs w:val="24"/>
        </w:rPr>
        <w:tab/>
        <w:t xml:space="preserve">Enter the device deficiency into </w:t>
      </w:r>
      <w:r w:rsidR="00A06C19" w:rsidRPr="00900B7C">
        <w:rPr>
          <w:rFonts w:eastAsia="Arial Unicode MS" w:cs="Arial"/>
          <w:color w:val="000000"/>
          <w:szCs w:val="24"/>
        </w:rPr>
        <w:t>a line listing maintained for the trial</w:t>
      </w:r>
      <w:r w:rsidRPr="00900B7C">
        <w:rPr>
          <w:rFonts w:eastAsia="Arial Unicode MS" w:cs="Arial"/>
          <w:color w:val="000000"/>
          <w:szCs w:val="24"/>
        </w:rPr>
        <w:t>.  This should be made available for DMC, TSC and SAGO review.</w:t>
      </w:r>
    </w:p>
    <w:p w14:paraId="56343CB0" w14:textId="77777777" w:rsidR="009B2018" w:rsidRPr="00313547" w:rsidRDefault="009B2018" w:rsidP="009B2018">
      <w:pPr>
        <w:tabs>
          <w:tab w:val="left" w:pos="851"/>
        </w:tabs>
        <w:spacing w:after="240"/>
        <w:ind w:left="1701" w:hanging="850"/>
        <w:rPr>
          <w:rFonts w:cs="Arial"/>
          <w:szCs w:val="24"/>
        </w:rPr>
      </w:pPr>
      <w:r w:rsidRPr="00900B7C">
        <w:rPr>
          <w:rFonts w:eastAsia="Arial Unicode MS" w:cs="Arial"/>
          <w:b/>
          <w:color w:val="000000"/>
          <w:szCs w:val="24"/>
        </w:rPr>
        <w:t>5.</w:t>
      </w:r>
      <w:r w:rsidR="007555D9" w:rsidRPr="00900B7C">
        <w:rPr>
          <w:rFonts w:eastAsia="Arial Unicode MS" w:cs="Arial"/>
          <w:b/>
          <w:color w:val="000000"/>
          <w:szCs w:val="24"/>
        </w:rPr>
        <w:t>4</w:t>
      </w:r>
      <w:r w:rsidRPr="00900B7C">
        <w:rPr>
          <w:rFonts w:eastAsia="Arial Unicode MS" w:cs="Arial"/>
          <w:b/>
          <w:color w:val="000000"/>
          <w:szCs w:val="24"/>
        </w:rPr>
        <w:t>.</w:t>
      </w:r>
      <w:r w:rsidR="00A06C19" w:rsidRPr="00900B7C">
        <w:rPr>
          <w:rFonts w:eastAsia="Arial Unicode MS" w:cs="Arial"/>
          <w:b/>
          <w:color w:val="000000"/>
          <w:szCs w:val="24"/>
        </w:rPr>
        <w:t>6</w:t>
      </w:r>
      <w:r w:rsidRPr="00900B7C">
        <w:rPr>
          <w:rFonts w:eastAsia="Arial Unicode MS" w:cs="Arial"/>
          <w:b/>
          <w:color w:val="000000"/>
          <w:szCs w:val="24"/>
        </w:rPr>
        <w:tab/>
      </w:r>
      <w:r w:rsidRPr="00900B7C">
        <w:rPr>
          <w:rFonts w:eastAsia="Arial Unicode MS" w:cs="Arial"/>
          <w:color w:val="000000"/>
          <w:szCs w:val="24"/>
        </w:rPr>
        <w:t xml:space="preserve">Follow-up of the long-term outcome of the device deficiency must be performed.  In such cases, full details should be recorded on a follow-up Device </w:t>
      </w:r>
      <w:r w:rsidR="00A06C19" w:rsidRPr="00900B7C">
        <w:rPr>
          <w:rFonts w:eastAsia="Arial Unicode MS" w:cs="Arial"/>
          <w:color w:val="000000"/>
          <w:szCs w:val="24"/>
        </w:rPr>
        <w:t>Deficiency Form</w:t>
      </w:r>
      <w:r w:rsidRPr="00900B7C">
        <w:rPr>
          <w:rFonts w:eastAsia="Arial Unicode MS" w:cs="Arial"/>
          <w:color w:val="000000"/>
          <w:szCs w:val="24"/>
        </w:rPr>
        <w:t>, the</w:t>
      </w:r>
      <w:r w:rsidRPr="006A15B6">
        <w:rPr>
          <w:rFonts w:eastAsia="Arial Unicode MS" w:cs="Arial"/>
          <w:color w:val="000000"/>
          <w:szCs w:val="24"/>
        </w:rPr>
        <w:t xml:space="preserve"> patient medical records and CRF.  </w:t>
      </w:r>
      <w:r w:rsidR="00B05906">
        <w:rPr>
          <w:rFonts w:eastAsia="Arial Unicode MS" w:cs="Arial"/>
          <w:color w:val="000000"/>
          <w:szCs w:val="24"/>
        </w:rPr>
        <w:t xml:space="preserve">The Trust will report new information to the MHRA within </w:t>
      </w:r>
      <w:r w:rsidR="00B05906">
        <w:rPr>
          <w:rFonts w:cs="Arial"/>
          <w:szCs w:val="24"/>
        </w:rPr>
        <w:t>7 calendar days of being informed.</w:t>
      </w:r>
    </w:p>
    <w:p w14:paraId="2D091690" w14:textId="77777777" w:rsidR="009B2018" w:rsidRDefault="009B2018" w:rsidP="009B2018">
      <w:pPr>
        <w:ind w:left="1701" w:hanging="850"/>
        <w:rPr>
          <w:rFonts w:eastAsia="Arial Unicode MS" w:cs="Arial"/>
          <w:color w:val="000000"/>
          <w:szCs w:val="24"/>
        </w:rPr>
      </w:pPr>
      <w:r w:rsidRPr="004E68FF">
        <w:rPr>
          <w:rFonts w:eastAsia="Arial Unicode MS" w:cs="Arial"/>
          <w:b/>
          <w:color w:val="000000"/>
          <w:szCs w:val="24"/>
        </w:rPr>
        <w:t>5.</w:t>
      </w:r>
      <w:r w:rsidR="007555D9">
        <w:rPr>
          <w:rFonts w:eastAsia="Arial Unicode MS" w:cs="Arial"/>
          <w:b/>
          <w:color w:val="000000"/>
          <w:szCs w:val="24"/>
        </w:rPr>
        <w:t>4</w:t>
      </w:r>
      <w:r w:rsidRPr="004E68FF">
        <w:rPr>
          <w:rFonts w:eastAsia="Arial Unicode MS" w:cs="Arial"/>
          <w:b/>
          <w:color w:val="000000"/>
          <w:szCs w:val="24"/>
        </w:rPr>
        <w:t>.</w:t>
      </w:r>
      <w:r w:rsidR="00A06C19">
        <w:rPr>
          <w:rFonts w:eastAsia="Arial Unicode MS" w:cs="Arial"/>
          <w:b/>
          <w:color w:val="000000"/>
          <w:szCs w:val="24"/>
        </w:rPr>
        <w:t>7</w:t>
      </w:r>
      <w:r w:rsidRPr="004E68FF">
        <w:rPr>
          <w:rFonts w:eastAsia="Arial Unicode MS" w:cs="Arial"/>
          <w:b/>
          <w:color w:val="000000"/>
          <w:szCs w:val="24"/>
        </w:rPr>
        <w:tab/>
      </w:r>
      <w:r>
        <w:rPr>
          <w:rFonts w:eastAsia="Arial Unicode MS" w:cs="Arial"/>
          <w:color w:val="000000"/>
          <w:szCs w:val="24"/>
        </w:rPr>
        <w:t>Device deficiencie</w:t>
      </w:r>
      <w:r w:rsidRPr="00063EF3">
        <w:rPr>
          <w:rFonts w:eastAsia="Arial Unicode MS" w:cs="Arial"/>
          <w:color w:val="000000"/>
          <w:szCs w:val="24"/>
        </w:rPr>
        <w:t>s that result in the subject withdrawing - or being withdrawn - from the study must be recorded for inclusion in the annual progress report submitted to the REC.</w:t>
      </w:r>
    </w:p>
    <w:p w14:paraId="50B357FF" w14:textId="77777777" w:rsidR="006A23FA" w:rsidRDefault="006A23FA" w:rsidP="009B2018">
      <w:pPr>
        <w:ind w:left="1701" w:hanging="850"/>
        <w:rPr>
          <w:rFonts w:eastAsia="Arial Unicode MS"/>
        </w:rPr>
      </w:pPr>
    </w:p>
    <w:p w14:paraId="0B43A8A2" w14:textId="77777777" w:rsidR="006A23FA" w:rsidRDefault="006A23FA" w:rsidP="009B2018">
      <w:pPr>
        <w:ind w:left="1701" w:hanging="850"/>
        <w:rPr>
          <w:rFonts w:eastAsia="Arial Unicode MS"/>
        </w:rPr>
      </w:pPr>
      <w:r w:rsidRPr="006A23FA">
        <w:rPr>
          <w:rFonts w:eastAsia="Arial Unicode MS"/>
          <w:b/>
        </w:rPr>
        <w:t>5.4.</w:t>
      </w:r>
      <w:r w:rsidR="00A06C19">
        <w:rPr>
          <w:rFonts w:eastAsia="Arial Unicode MS"/>
          <w:b/>
        </w:rPr>
        <w:t>8</w:t>
      </w:r>
      <w:r>
        <w:rPr>
          <w:rFonts w:eastAsia="Arial Unicode MS"/>
        </w:rPr>
        <w:tab/>
      </w:r>
      <w:r>
        <w:rPr>
          <w:rFonts w:eastAsia="Arial Unicode MS" w:cs="Arial"/>
          <w:color w:val="000000"/>
          <w:szCs w:val="24"/>
        </w:rPr>
        <w:t>In multi-centre trials, all participating sites must be informed of device deficiencies and any associated urgent safety measures required (see section 5.5) without delay. This will usually be conducted by the Research office, but may be delegated to a member of the team or a third party vendor such as a Clinical Trials Unit (CTU).</w:t>
      </w:r>
    </w:p>
    <w:p w14:paraId="3DA8FDE8" w14:textId="77777777" w:rsidR="007555D9" w:rsidRPr="00063EF3" w:rsidRDefault="007555D9" w:rsidP="008C3BAE">
      <w:pPr>
        <w:rPr>
          <w:rFonts w:eastAsia="Arial Unicode MS"/>
        </w:rPr>
      </w:pPr>
    </w:p>
    <w:p w14:paraId="172189D2" w14:textId="77777777" w:rsidR="00383257" w:rsidRDefault="00383257" w:rsidP="00383257">
      <w:pPr>
        <w:ind w:left="426"/>
        <w:rPr>
          <w:rFonts w:eastAsia="Arial Unicode MS"/>
          <w:b/>
        </w:rPr>
      </w:pPr>
      <w:r>
        <w:rPr>
          <w:rFonts w:eastAsia="Arial Unicode MS"/>
          <w:b/>
        </w:rPr>
        <w:t>5.</w:t>
      </w:r>
      <w:r w:rsidR="008C3BAE">
        <w:rPr>
          <w:rFonts w:eastAsia="Arial Unicode MS"/>
          <w:b/>
        </w:rPr>
        <w:t>5</w:t>
      </w:r>
      <w:r>
        <w:rPr>
          <w:rFonts w:eastAsia="Arial Unicode MS"/>
          <w:b/>
        </w:rPr>
        <w:tab/>
        <w:t>Urgent Safety Measures</w:t>
      </w:r>
    </w:p>
    <w:p w14:paraId="7CB0FD46" w14:textId="77777777" w:rsidR="009E1A62" w:rsidRDefault="00313547" w:rsidP="009E1A62">
      <w:pPr>
        <w:pStyle w:val="ListParagraph"/>
        <w:spacing w:after="240"/>
        <w:ind w:left="426"/>
        <w:rPr>
          <w:rFonts w:ascii="Arial" w:hAnsi="Arial" w:cs="Arial"/>
          <w:sz w:val="24"/>
          <w:szCs w:val="24"/>
          <w:lang w:val="en"/>
        </w:rPr>
      </w:pPr>
      <w:r w:rsidRPr="00313547">
        <w:rPr>
          <w:rFonts w:ascii="Arial" w:hAnsi="Arial" w:cs="Arial"/>
          <w:sz w:val="24"/>
          <w:szCs w:val="24"/>
          <w:lang w:val="en"/>
        </w:rPr>
        <w:t>If necessary, the sponsor and CI must take appropriate measures to protect clinical trial subjects from any immediate hazard to their health and safety</w:t>
      </w:r>
      <w:r w:rsidR="006A23FA">
        <w:rPr>
          <w:rFonts w:ascii="Arial" w:hAnsi="Arial" w:cs="Arial"/>
          <w:sz w:val="24"/>
          <w:szCs w:val="24"/>
          <w:lang w:val="en"/>
        </w:rPr>
        <w:t>, such as any identified following a USADE or report of a device deficiency</w:t>
      </w:r>
      <w:r w:rsidRPr="00313547">
        <w:rPr>
          <w:rFonts w:ascii="Arial" w:hAnsi="Arial" w:cs="Arial"/>
          <w:sz w:val="24"/>
          <w:szCs w:val="24"/>
          <w:lang w:val="en"/>
        </w:rPr>
        <w:t xml:space="preserve">.  </w:t>
      </w:r>
    </w:p>
    <w:p w14:paraId="2CF16B47" w14:textId="77777777" w:rsidR="009E1A62" w:rsidRDefault="00A06050" w:rsidP="009E1A62">
      <w:pPr>
        <w:pStyle w:val="ListParagraph"/>
        <w:spacing w:after="240"/>
        <w:ind w:left="426"/>
        <w:rPr>
          <w:rFonts w:ascii="Arial" w:hAnsi="Arial" w:cs="Arial"/>
          <w:sz w:val="24"/>
          <w:szCs w:val="24"/>
          <w:lang w:val="en"/>
        </w:rPr>
      </w:pPr>
      <w:r>
        <w:rPr>
          <w:rFonts w:ascii="Arial" w:hAnsi="Arial" w:cs="Arial"/>
          <w:sz w:val="24"/>
          <w:szCs w:val="24"/>
          <w:lang w:val="en"/>
        </w:rPr>
        <w:t>T</w:t>
      </w:r>
      <w:r w:rsidR="009E1A62">
        <w:rPr>
          <w:rFonts w:ascii="Arial" w:hAnsi="Arial" w:cs="Arial"/>
          <w:sz w:val="24"/>
          <w:szCs w:val="24"/>
          <w:lang w:val="en"/>
        </w:rPr>
        <w:t xml:space="preserve">he sponsor must establish a procedure for emergency situations which enables the immediate identification and, where necessary, an immediate recall of the devices used in the investigation. </w:t>
      </w:r>
    </w:p>
    <w:p w14:paraId="44AD5E95" w14:textId="77777777" w:rsidR="009E1A62" w:rsidRPr="009E1A62" w:rsidRDefault="00B05906" w:rsidP="009E1A62">
      <w:pPr>
        <w:pStyle w:val="ListParagraph"/>
        <w:spacing w:after="240"/>
        <w:ind w:left="426"/>
        <w:rPr>
          <w:rFonts w:ascii="Arial" w:hAnsi="Arial" w:cs="Arial"/>
          <w:sz w:val="24"/>
          <w:szCs w:val="24"/>
          <w:lang w:val="en"/>
        </w:rPr>
      </w:pPr>
      <w:r>
        <w:rPr>
          <w:rFonts w:ascii="Arial" w:hAnsi="Arial" w:cs="Arial"/>
          <w:sz w:val="24"/>
          <w:szCs w:val="24"/>
          <w:lang w:val="en"/>
        </w:rPr>
        <w:lastRenderedPageBreak/>
        <w:t xml:space="preserve">Such </w:t>
      </w:r>
      <w:r w:rsidR="00313547" w:rsidRPr="00313547">
        <w:rPr>
          <w:rFonts w:ascii="Arial" w:hAnsi="Arial" w:cs="Arial"/>
          <w:sz w:val="24"/>
          <w:szCs w:val="24"/>
          <w:lang w:val="en"/>
        </w:rPr>
        <w:t>urgent safety measures are implemented quickly, without waiting for formal MHRA and REC approval, although MHRA advice is sought.</w:t>
      </w:r>
    </w:p>
    <w:p w14:paraId="4A124129" w14:textId="77777777" w:rsidR="00313547" w:rsidRPr="00313547" w:rsidRDefault="00313547" w:rsidP="00B05906">
      <w:pPr>
        <w:pStyle w:val="NoSpacing"/>
        <w:ind w:left="426"/>
        <w:rPr>
          <w:rFonts w:eastAsia="Arial Unicode MS"/>
          <w:b/>
        </w:rPr>
      </w:pPr>
      <w:r w:rsidRPr="00313547">
        <w:rPr>
          <w:rFonts w:eastAsia="Arial Unicode MS"/>
        </w:rPr>
        <w:t xml:space="preserve">Where urgent safety measures are deemed to be required, the </w:t>
      </w:r>
      <w:r w:rsidRPr="00B05906">
        <w:rPr>
          <w:rFonts w:eastAsia="Arial Unicode MS"/>
        </w:rPr>
        <w:t xml:space="preserve">sponsor </w:t>
      </w:r>
      <w:r w:rsidRPr="00313547">
        <w:rPr>
          <w:rFonts w:eastAsia="Arial Unicode MS"/>
        </w:rPr>
        <w:t>must immediately:</w:t>
      </w:r>
    </w:p>
    <w:p w14:paraId="395AA33A" w14:textId="77777777" w:rsidR="00313547" w:rsidRPr="00B05906" w:rsidRDefault="00313547" w:rsidP="00B05906">
      <w:pPr>
        <w:pStyle w:val="NoSpacing"/>
        <w:numPr>
          <w:ilvl w:val="0"/>
          <w:numId w:val="24"/>
        </w:numPr>
        <w:ind w:left="993"/>
      </w:pPr>
      <w:r w:rsidRPr="00B05906">
        <w:rPr>
          <w:lang w:val="en"/>
        </w:rPr>
        <w:t xml:space="preserve">Telephone the </w:t>
      </w:r>
      <w:r w:rsidR="00B05906" w:rsidRPr="00B05906">
        <w:rPr>
          <w:lang w:val="en"/>
        </w:rPr>
        <w:t>MHRA to discuss (</w:t>
      </w:r>
      <w:r w:rsidR="00B05906">
        <w:rPr>
          <w:lang w:val="en"/>
        </w:rPr>
        <w:t>t</w:t>
      </w:r>
      <w:r w:rsidR="00B05906" w:rsidRPr="00B05906">
        <w:rPr>
          <w:lang w:val="en"/>
        </w:rPr>
        <w:t xml:space="preserve">he CI should </w:t>
      </w:r>
      <w:r w:rsidR="00B05906">
        <w:rPr>
          <w:lang w:val="en"/>
        </w:rPr>
        <w:t xml:space="preserve">also </w:t>
      </w:r>
      <w:r w:rsidR="00B05906" w:rsidRPr="00B05906">
        <w:rPr>
          <w:lang w:val="en"/>
        </w:rPr>
        <w:t>be asked to dial into the call to the MHRA), and</w:t>
      </w:r>
    </w:p>
    <w:p w14:paraId="6534C009" w14:textId="77777777" w:rsidR="00313547" w:rsidRPr="00313547" w:rsidRDefault="00313547" w:rsidP="00B05906">
      <w:pPr>
        <w:pStyle w:val="NoSpacing"/>
        <w:numPr>
          <w:ilvl w:val="0"/>
          <w:numId w:val="13"/>
        </w:numPr>
        <w:ind w:left="993"/>
        <w:rPr>
          <w:rFonts w:cs="Arial"/>
          <w:szCs w:val="24"/>
        </w:rPr>
      </w:pPr>
      <w:r w:rsidRPr="00313547">
        <w:rPr>
          <w:rFonts w:cs="Arial"/>
          <w:szCs w:val="24"/>
          <w:lang w:val="en"/>
        </w:rPr>
        <w:t>Telephone the REC to report the situation</w:t>
      </w:r>
      <w:r w:rsidR="006A23FA">
        <w:rPr>
          <w:rFonts w:cs="Arial"/>
          <w:szCs w:val="24"/>
          <w:lang w:val="en"/>
        </w:rPr>
        <w:t>.</w:t>
      </w:r>
    </w:p>
    <w:p w14:paraId="33B7FC8D" w14:textId="77777777" w:rsidR="00B05906" w:rsidRDefault="00B05906" w:rsidP="00B05906">
      <w:pPr>
        <w:pStyle w:val="NoSpacing"/>
        <w:ind w:left="426"/>
        <w:rPr>
          <w:rFonts w:eastAsia="Arial Unicode MS"/>
        </w:rPr>
      </w:pPr>
    </w:p>
    <w:p w14:paraId="34607A8D" w14:textId="77777777" w:rsidR="00313547" w:rsidRDefault="00313547" w:rsidP="00B05906">
      <w:pPr>
        <w:pStyle w:val="NoSpacing"/>
        <w:ind w:left="426"/>
        <w:rPr>
          <w:rFonts w:eastAsia="Arial Unicode MS"/>
        </w:rPr>
      </w:pPr>
      <w:r w:rsidRPr="00B05906">
        <w:rPr>
          <w:rFonts w:eastAsia="Arial Unicode MS"/>
        </w:rPr>
        <w:t>Once the appropriate course of action has been determined, the CI must take the agreed action to ensure trial subjects are made safe.</w:t>
      </w:r>
    </w:p>
    <w:p w14:paraId="744A3814" w14:textId="77777777" w:rsidR="00B05906" w:rsidRPr="00B05906" w:rsidRDefault="00B05906" w:rsidP="00B05906">
      <w:pPr>
        <w:pStyle w:val="NoSpacing"/>
        <w:ind w:left="426"/>
        <w:rPr>
          <w:rFonts w:eastAsia="Arial Unicode MS"/>
        </w:rPr>
      </w:pPr>
    </w:p>
    <w:p w14:paraId="5E5654B2" w14:textId="77777777" w:rsidR="00313547" w:rsidRDefault="00313547" w:rsidP="00313547">
      <w:pPr>
        <w:pStyle w:val="NoSpacing"/>
        <w:ind w:left="426"/>
        <w:rPr>
          <w:rFonts w:eastAsia="Arial Unicode MS" w:cs="Arial"/>
          <w:szCs w:val="24"/>
        </w:rPr>
      </w:pPr>
      <w:r w:rsidRPr="00313547">
        <w:rPr>
          <w:rFonts w:eastAsia="Arial Unicode MS" w:cs="Arial"/>
          <w:szCs w:val="24"/>
        </w:rPr>
        <w:t xml:space="preserve">Immediately, or no later than 3 days after action is taken, the sponsor must notify the MHRA and REC in writing of the measures being taken and the reasons for the measures.  This must be done by submitting a completed substantial amendment form.  The substantial amendment should be submitted as advised by the MHRA.  This will usually be by email, marked ‘Urgent Safety Measure’.  </w:t>
      </w:r>
    </w:p>
    <w:p w14:paraId="30FC0D34" w14:textId="77777777" w:rsidR="00313547" w:rsidRPr="00313547" w:rsidRDefault="00313547" w:rsidP="001514A8">
      <w:pPr>
        <w:pStyle w:val="NoSpacing"/>
        <w:rPr>
          <w:rFonts w:eastAsia="Arial Unicode MS" w:cs="Arial"/>
          <w:szCs w:val="24"/>
        </w:rPr>
      </w:pPr>
    </w:p>
    <w:p w14:paraId="509343E1" w14:textId="77777777" w:rsidR="00313547" w:rsidRPr="00313547" w:rsidRDefault="00313547" w:rsidP="00313547">
      <w:pPr>
        <w:tabs>
          <w:tab w:val="left" w:pos="1418"/>
        </w:tabs>
        <w:spacing w:after="240"/>
        <w:ind w:left="426"/>
        <w:rPr>
          <w:rFonts w:eastAsia="Arial Unicode MS" w:cs="Arial"/>
          <w:szCs w:val="24"/>
        </w:rPr>
      </w:pPr>
      <w:r w:rsidRPr="00313547">
        <w:rPr>
          <w:rFonts w:eastAsia="Arial Unicode MS" w:cs="Arial"/>
          <w:szCs w:val="24"/>
        </w:rPr>
        <w:t xml:space="preserve">If the trial is closed prematurely as a result of a safety signal, the End of Trial Form must be submitted to the MHRA and REC within 15 days.  See </w:t>
      </w:r>
      <w:r w:rsidR="006847D1">
        <w:rPr>
          <w:rFonts w:eastAsia="Arial Unicode MS" w:cs="Arial"/>
          <w:szCs w:val="24"/>
        </w:rPr>
        <w:t xml:space="preserve">the R&amp;I </w:t>
      </w:r>
      <w:r>
        <w:rPr>
          <w:rFonts w:eastAsia="Arial Unicode MS" w:cs="Arial"/>
          <w:szCs w:val="24"/>
        </w:rPr>
        <w:t>SOP ‘</w:t>
      </w:r>
      <w:r w:rsidRPr="00313547">
        <w:rPr>
          <w:rFonts w:eastAsia="Arial Unicode MS" w:cs="Arial"/>
          <w:szCs w:val="24"/>
        </w:rPr>
        <w:t>End of Study Notification.</w:t>
      </w:r>
      <w:r>
        <w:rPr>
          <w:rFonts w:eastAsia="Arial Unicode MS" w:cs="Arial"/>
          <w:szCs w:val="24"/>
        </w:rPr>
        <w:t>’</w:t>
      </w:r>
      <w:r w:rsidRPr="00313547">
        <w:rPr>
          <w:rFonts w:eastAsia="Arial Unicode MS" w:cs="Arial"/>
          <w:szCs w:val="24"/>
        </w:rPr>
        <w:t xml:space="preserve"> </w:t>
      </w:r>
    </w:p>
    <w:p w14:paraId="3C9FED39" w14:textId="77777777" w:rsidR="00383257" w:rsidRPr="00313547" w:rsidRDefault="00313547" w:rsidP="00313547">
      <w:pPr>
        <w:ind w:left="426"/>
        <w:rPr>
          <w:rFonts w:eastAsia="Arial Unicode MS" w:cs="Arial"/>
          <w:szCs w:val="24"/>
        </w:rPr>
      </w:pPr>
      <w:r w:rsidRPr="00313547">
        <w:rPr>
          <w:rFonts w:eastAsia="Arial Unicode MS" w:cs="Arial"/>
          <w:szCs w:val="24"/>
        </w:rPr>
        <w:t xml:space="preserve">Oversight Committees active for the trial </w:t>
      </w:r>
      <w:r w:rsidR="00A06050">
        <w:rPr>
          <w:rFonts w:eastAsia="Arial Unicode MS" w:cs="Arial"/>
          <w:szCs w:val="24"/>
        </w:rPr>
        <w:t xml:space="preserve">should </w:t>
      </w:r>
      <w:r w:rsidRPr="00313547">
        <w:rPr>
          <w:rFonts w:eastAsia="Arial Unicode MS" w:cs="Arial"/>
          <w:szCs w:val="24"/>
        </w:rPr>
        <w:t>be notified in the event of an Urgent Safety Measure.</w:t>
      </w:r>
    </w:p>
    <w:p w14:paraId="5E5C7F6B" w14:textId="77777777" w:rsidR="00313547" w:rsidRDefault="00313547" w:rsidP="00313547">
      <w:pPr>
        <w:ind w:left="426"/>
        <w:rPr>
          <w:rFonts w:eastAsia="Arial Unicode MS"/>
          <w:b/>
        </w:rPr>
      </w:pPr>
    </w:p>
    <w:p w14:paraId="1D91124D" w14:textId="77777777" w:rsidR="00383257" w:rsidRDefault="00383257" w:rsidP="00383257">
      <w:pPr>
        <w:ind w:left="426"/>
        <w:rPr>
          <w:rFonts w:eastAsia="Arial Unicode MS"/>
          <w:b/>
        </w:rPr>
      </w:pPr>
      <w:r>
        <w:rPr>
          <w:rFonts w:eastAsia="Arial Unicode MS"/>
          <w:b/>
        </w:rPr>
        <w:t>5.</w:t>
      </w:r>
      <w:r w:rsidR="008C3BAE">
        <w:rPr>
          <w:rFonts w:eastAsia="Arial Unicode MS"/>
          <w:b/>
        </w:rPr>
        <w:t>6</w:t>
      </w:r>
      <w:r>
        <w:rPr>
          <w:rFonts w:eastAsia="Arial Unicode MS"/>
          <w:b/>
        </w:rPr>
        <w:tab/>
        <w:t>Reporting a Pregnancy in a Trial Subject or Partner</w:t>
      </w:r>
    </w:p>
    <w:p w14:paraId="6177D310" w14:textId="77777777" w:rsidR="00383257" w:rsidRDefault="00313547" w:rsidP="00383257">
      <w:pPr>
        <w:ind w:left="426"/>
        <w:rPr>
          <w:rFonts w:cs="Arial"/>
          <w:szCs w:val="24"/>
          <w:lang w:eastAsia="en-GB"/>
        </w:rPr>
      </w:pPr>
      <w:r w:rsidRPr="006A15B6">
        <w:rPr>
          <w:rFonts w:cs="Arial"/>
          <w:szCs w:val="24"/>
          <w:lang w:eastAsia="en-GB"/>
        </w:rPr>
        <w:t>If a participant - or the partner of a participant - becomes pregnant while</w:t>
      </w:r>
      <w:r w:rsidRPr="006A15B6">
        <w:rPr>
          <w:rFonts w:eastAsia="Arial Unicode MS" w:cs="Arial"/>
          <w:color w:val="000000"/>
          <w:szCs w:val="24"/>
        </w:rPr>
        <w:t xml:space="preserve"> </w:t>
      </w:r>
      <w:r w:rsidRPr="006A15B6">
        <w:rPr>
          <w:rFonts w:cs="Arial"/>
          <w:szCs w:val="24"/>
          <w:lang w:eastAsia="en-GB"/>
        </w:rPr>
        <w:t xml:space="preserve">taking part in a </w:t>
      </w:r>
      <w:r>
        <w:rPr>
          <w:rFonts w:cs="Arial"/>
          <w:szCs w:val="24"/>
          <w:lang w:eastAsia="en-GB"/>
        </w:rPr>
        <w:t>device</w:t>
      </w:r>
      <w:r w:rsidRPr="006A15B6">
        <w:rPr>
          <w:rFonts w:cs="Arial"/>
          <w:szCs w:val="24"/>
          <w:lang w:eastAsia="en-GB"/>
        </w:rPr>
        <w:t xml:space="preserve"> trial or during a stage where the foetus could have</w:t>
      </w:r>
      <w:r w:rsidRPr="006A15B6">
        <w:rPr>
          <w:rFonts w:eastAsia="Arial Unicode MS" w:cs="Arial"/>
          <w:color w:val="000000"/>
          <w:szCs w:val="24"/>
        </w:rPr>
        <w:t xml:space="preserve"> </w:t>
      </w:r>
      <w:r w:rsidRPr="006A15B6">
        <w:rPr>
          <w:rFonts w:cs="Arial"/>
          <w:szCs w:val="24"/>
          <w:lang w:eastAsia="en-GB"/>
        </w:rPr>
        <w:t xml:space="preserve">been exposed to the </w:t>
      </w:r>
      <w:r>
        <w:rPr>
          <w:rFonts w:cs="Arial"/>
          <w:szCs w:val="24"/>
          <w:lang w:eastAsia="en-GB"/>
        </w:rPr>
        <w:t>investigational device</w:t>
      </w:r>
      <w:r w:rsidRPr="006A15B6">
        <w:rPr>
          <w:rFonts w:cs="Arial"/>
          <w:szCs w:val="24"/>
          <w:lang w:eastAsia="en-GB"/>
        </w:rPr>
        <w:t>, the pregnancy must be reported to the sponsor and followed up until</w:t>
      </w:r>
      <w:r w:rsidRPr="006A15B6">
        <w:rPr>
          <w:rFonts w:eastAsia="Arial Unicode MS" w:cs="Arial"/>
          <w:color w:val="000000"/>
          <w:szCs w:val="24"/>
        </w:rPr>
        <w:t xml:space="preserve"> </w:t>
      </w:r>
      <w:r w:rsidRPr="006A15B6">
        <w:rPr>
          <w:rFonts w:cs="Arial"/>
          <w:szCs w:val="24"/>
          <w:lang w:eastAsia="en-GB"/>
        </w:rPr>
        <w:t xml:space="preserve">delivery, or as specified in the protocol.  A </w:t>
      </w:r>
      <w:r w:rsidR="00CA6289">
        <w:rPr>
          <w:rFonts w:cs="Arial"/>
          <w:szCs w:val="24"/>
          <w:lang w:eastAsia="en-GB"/>
        </w:rPr>
        <w:t>‘</w:t>
      </w:r>
      <w:r w:rsidR="0050725D">
        <w:rPr>
          <w:rFonts w:cs="Arial"/>
          <w:szCs w:val="24"/>
          <w:lang w:eastAsia="en-GB"/>
        </w:rPr>
        <w:t>device trials</w:t>
      </w:r>
      <w:r w:rsidRPr="006A15B6">
        <w:rPr>
          <w:rFonts w:cs="Arial"/>
          <w:szCs w:val="24"/>
          <w:lang w:eastAsia="en-GB"/>
        </w:rPr>
        <w:t xml:space="preserve"> pregnancy notification form</w:t>
      </w:r>
      <w:r w:rsidR="00CA6289">
        <w:rPr>
          <w:rFonts w:cs="Arial"/>
          <w:szCs w:val="24"/>
          <w:lang w:eastAsia="en-GB"/>
        </w:rPr>
        <w:t>’</w:t>
      </w:r>
      <w:r w:rsidRPr="006A15B6">
        <w:rPr>
          <w:rFonts w:cs="Arial"/>
          <w:szCs w:val="24"/>
          <w:lang w:eastAsia="en-GB"/>
        </w:rPr>
        <w:t xml:space="preserve"> is available for Trust sponsored </w:t>
      </w:r>
      <w:r w:rsidR="0050725D">
        <w:rPr>
          <w:rFonts w:cs="Arial"/>
          <w:szCs w:val="24"/>
          <w:lang w:eastAsia="en-GB"/>
        </w:rPr>
        <w:t>Clinical Investigations of Medical Devices</w:t>
      </w:r>
      <w:r w:rsidRPr="006A15B6">
        <w:rPr>
          <w:rFonts w:cs="Arial"/>
          <w:szCs w:val="24"/>
          <w:lang w:eastAsia="en-GB"/>
        </w:rPr>
        <w:t>.  Adverse pregnancy outcomes, such as a birth defect or congenital abnormality, constitute a Serious Adverse Event and must be reported to the sponsor</w:t>
      </w:r>
      <w:r w:rsidR="00B05906">
        <w:rPr>
          <w:rFonts w:cs="Arial"/>
          <w:szCs w:val="24"/>
          <w:lang w:eastAsia="en-GB"/>
        </w:rPr>
        <w:t xml:space="preserve"> as described in section 5.2</w:t>
      </w:r>
      <w:r w:rsidRPr="006A15B6">
        <w:rPr>
          <w:rFonts w:cs="Arial"/>
          <w:szCs w:val="24"/>
          <w:lang w:eastAsia="en-GB"/>
        </w:rPr>
        <w:t>.</w:t>
      </w:r>
    </w:p>
    <w:p w14:paraId="4CE8E467" w14:textId="77777777" w:rsidR="00313547" w:rsidRDefault="00313547" w:rsidP="00383257">
      <w:pPr>
        <w:ind w:left="426"/>
        <w:rPr>
          <w:rFonts w:eastAsia="Arial Unicode MS"/>
          <w:b/>
        </w:rPr>
      </w:pPr>
    </w:p>
    <w:p w14:paraId="1D8F2A39" w14:textId="77777777" w:rsidR="00383257" w:rsidRPr="00383257" w:rsidRDefault="00383257" w:rsidP="00383257">
      <w:pPr>
        <w:ind w:left="426"/>
        <w:rPr>
          <w:rFonts w:eastAsia="Arial Unicode MS"/>
          <w:b/>
        </w:rPr>
      </w:pPr>
      <w:r>
        <w:rPr>
          <w:rFonts w:eastAsia="Arial Unicode MS"/>
          <w:b/>
        </w:rPr>
        <w:t>5.</w:t>
      </w:r>
      <w:r w:rsidR="008C3BAE">
        <w:rPr>
          <w:rFonts w:eastAsia="Arial Unicode MS"/>
          <w:b/>
        </w:rPr>
        <w:t>7</w:t>
      </w:r>
      <w:r>
        <w:rPr>
          <w:rFonts w:eastAsia="Arial Unicode MS"/>
          <w:b/>
        </w:rPr>
        <w:tab/>
        <w:t>Breaking the Blind</w:t>
      </w:r>
    </w:p>
    <w:p w14:paraId="18538847" w14:textId="77777777" w:rsidR="0050725D" w:rsidRPr="0050725D" w:rsidRDefault="0050725D" w:rsidP="0050725D">
      <w:pPr>
        <w:pStyle w:val="ListParagraph"/>
        <w:tabs>
          <w:tab w:val="left" w:pos="1418"/>
        </w:tabs>
        <w:spacing w:after="240"/>
        <w:ind w:left="426"/>
        <w:rPr>
          <w:rFonts w:ascii="Arial" w:hAnsi="Arial" w:cs="Arial"/>
          <w:sz w:val="24"/>
          <w:szCs w:val="24"/>
        </w:rPr>
      </w:pPr>
      <w:r w:rsidRPr="0050725D">
        <w:rPr>
          <w:rFonts w:ascii="Arial" w:hAnsi="Arial" w:cs="Arial"/>
          <w:sz w:val="24"/>
          <w:szCs w:val="24"/>
        </w:rPr>
        <w:t xml:space="preserve">For blinded/masked trials where there are grounds to believe that a serious adverse event may be a </w:t>
      </w:r>
      <w:r>
        <w:rPr>
          <w:rFonts w:ascii="Arial" w:hAnsi="Arial" w:cs="Arial"/>
          <w:sz w:val="24"/>
          <w:szCs w:val="24"/>
        </w:rPr>
        <w:t>USADE</w:t>
      </w:r>
      <w:r w:rsidRPr="0050725D">
        <w:rPr>
          <w:rFonts w:ascii="Arial" w:hAnsi="Arial" w:cs="Arial"/>
          <w:sz w:val="24"/>
          <w:szCs w:val="24"/>
        </w:rPr>
        <w:t xml:space="preserve">, or otherwise subject to expedited reporting, treatment allocations may need to be un-blinded for specific subjects.  It is important the check the requirements of </w:t>
      </w:r>
      <w:r w:rsidR="00B05906">
        <w:rPr>
          <w:rFonts w:ascii="Arial" w:hAnsi="Arial" w:cs="Arial"/>
          <w:sz w:val="24"/>
          <w:szCs w:val="24"/>
        </w:rPr>
        <w:t>the trial</w:t>
      </w:r>
      <w:r w:rsidRPr="0050725D">
        <w:rPr>
          <w:rFonts w:ascii="Arial" w:hAnsi="Arial" w:cs="Arial"/>
          <w:sz w:val="24"/>
          <w:szCs w:val="24"/>
        </w:rPr>
        <w:t xml:space="preserve"> protocol</w:t>
      </w:r>
      <w:r w:rsidR="00B05906">
        <w:rPr>
          <w:rFonts w:ascii="Arial" w:hAnsi="Arial" w:cs="Arial"/>
          <w:sz w:val="24"/>
          <w:szCs w:val="24"/>
        </w:rPr>
        <w:t xml:space="preserve">. </w:t>
      </w:r>
      <w:r w:rsidRPr="0050725D">
        <w:rPr>
          <w:rFonts w:ascii="Arial" w:hAnsi="Arial" w:cs="Arial"/>
          <w:sz w:val="24"/>
          <w:szCs w:val="24"/>
        </w:rPr>
        <w:t xml:space="preserve">If the event is found to have occurred in the </w:t>
      </w:r>
      <w:r w:rsidR="00E46BF3">
        <w:rPr>
          <w:rFonts w:ascii="Arial" w:hAnsi="Arial" w:cs="Arial"/>
          <w:sz w:val="24"/>
          <w:szCs w:val="24"/>
        </w:rPr>
        <w:t xml:space="preserve">control </w:t>
      </w:r>
      <w:r w:rsidR="00B05906">
        <w:rPr>
          <w:rFonts w:ascii="Arial" w:hAnsi="Arial" w:cs="Arial"/>
          <w:sz w:val="24"/>
          <w:szCs w:val="24"/>
        </w:rPr>
        <w:t xml:space="preserve">or comparator </w:t>
      </w:r>
      <w:r w:rsidR="00E46BF3">
        <w:rPr>
          <w:rFonts w:ascii="Arial" w:hAnsi="Arial" w:cs="Arial"/>
          <w:sz w:val="24"/>
          <w:szCs w:val="24"/>
        </w:rPr>
        <w:t>device</w:t>
      </w:r>
      <w:r w:rsidRPr="0050725D">
        <w:rPr>
          <w:rFonts w:ascii="Arial" w:hAnsi="Arial" w:cs="Arial"/>
          <w:sz w:val="24"/>
          <w:szCs w:val="24"/>
        </w:rPr>
        <w:t xml:space="preserve"> arm, it will generally only satisfy the criteria for an SAE (unless thought to be due to </w:t>
      </w:r>
      <w:r>
        <w:rPr>
          <w:rFonts w:ascii="Arial" w:hAnsi="Arial" w:cs="Arial"/>
          <w:sz w:val="24"/>
          <w:szCs w:val="24"/>
        </w:rPr>
        <w:t xml:space="preserve">any </w:t>
      </w:r>
      <w:r w:rsidR="00E46BF3">
        <w:rPr>
          <w:rFonts w:ascii="Arial" w:hAnsi="Arial" w:cs="Arial"/>
          <w:sz w:val="24"/>
          <w:szCs w:val="24"/>
        </w:rPr>
        <w:t>control</w:t>
      </w:r>
      <w:r>
        <w:rPr>
          <w:rFonts w:ascii="Arial" w:hAnsi="Arial" w:cs="Arial"/>
          <w:sz w:val="24"/>
          <w:szCs w:val="24"/>
        </w:rPr>
        <w:t xml:space="preserve"> device</w:t>
      </w:r>
      <w:r w:rsidRPr="0050725D">
        <w:rPr>
          <w:rFonts w:ascii="Arial" w:hAnsi="Arial" w:cs="Arial"/>
          <w:sz w:val="24"/>
          <w:szCs w:val="24"/>
        </w:rPr>
        <w:t xml:space="preserve">) and as such should not be subject to expedited reporting.  </w:t>
      </w:r>
    </w:p>
    <w:p w14:paraId="579FCEC7" w14:textId="77777777" w:rsidR="008F5B6E" w:rsidRPr="00900CBC" w:rsidRDefault="0050725D" w:rsidP="00900CBC">
      <w:pPr>
        <w:pStyle w:val="ListParagraph"/>
        <w:tabs>
          <w:tab w:val="left" w:pos="1418"/>
        </w:tabs>
        <w:spacing w:after="240"/>
        <w:ind w:left="426"/>
        <w:rPr>
          <w:rFonts w:ascii="Arial" w:hAnsi="Arial" w:cs="Arial"/>
          <w:sz w:val="24"/>
          <w:szCs w:val="24"/>
        </w:rPr>
      </w:pPr>
      <w:r w:rsidRPr="0050725D">
        <w:rPr>
          <w:rFonts w:ascii="Arial" w:hAnsi="Arial" w:cs="Arial"/>
          <w:color w:val="000000"/>
          <w:sz w:val="24"/>
          <w:szCs w:val="24"/>
        </w:rPr>
        <w:t xml:space="preserve">A system for breaking the blind should be detailed in the protocol and, as far as possible, should maintain blinding of individual clinicians and of trials staff involved in the day-to-day running of the trial.  For example, </w:t>
      </w:r>
      <w:r w:rsidR="00A06050">
        <w:rPr>
          <w:rFonts w:ascii="Arial" w:hAnsi="Arial" w:cs="Arial"/>
          <w:color w:val="000000"/>
          <w:sz w:val="24"/>
          <w:szCs w:val="24"/>
        </w:rPr>
        <w:t xml:space="preserve">limited representatives of </w:t>
      </w:r>
      <w:r w:rsidRPr="0050725D">
        <w:rPr>
          <w:rFonts w:ascii="Arial" w:hAnsi="Arial" w:cs="Arial"/>
          <w:color w:val="000000"/>
          <w:sz w:val="24"/>
          <w:szCs w:val="24"/>
        </w:rPr>
        <w:t xml:space="preserve">the sponsor, or staff working on a separate trial might undertake the unblinding.  However, the safety of patients in the trial always takes </w:t>
      </w:r>
      <w:r w:rsidRPr="0050725D">
        <w:rPr>
          <w:rFonts w:ascii="Arial" w:hAnsi="Arial" w:cs="Arial"/>
          <w:color w:val="000000"/>
          <w:sz w:val="24"/>
          <w:szCs w:val="24"/>
        </w:rPr>
        <w:lastRenderedPageBreak/>
        <w:t xml:space="preserve">priority and unblinding clinicians may be unavoidable if the information is necessary for clinical management purposes. </w:t>
      </w:r>
    </w:p>
    <w:p w14:paraId="28CC90F8" w14:textId="77777777" w:rsidR="008C5C63" w:rsidRPr="000208A9" w:rsidRDefault="007555D9" w:rsidP="009C5CDE">
      <w:pPr>
        <w:spacing w:after="240"/>
        <w:rPr>
          <w:rFonts w:cs="Arial"/>
          <w:b/>
          <w:szCs w:val="24"/>
        </w:rPr>
      </w:pPr>
      <w:r>
        <w:rPr>
          <w:rFonts w:eastAsia="Arial Unicode MS" w:cs="Arial"/>
          <w:b/>
          <w:szCs w:val="24"/>
        </w:rPr>
        <w:t>6</w:t>
      </w:r>
      <w:r w:rsidR="001A319B" w:rsidRPr="000208A9">
        <w:rPr>
          <w:rFonts w:eastAsia="Arial Unicode MS" w:cs="Arial"/>
          <w:szCs w:val="24"/>
        </w:rPr>
        <w:tab/>
      </w:r>
      <w:r w:rsidR="008C5C63" w:rsidRPr="000208A9">
        <w:rPr>
          <w:rFonts w:cs="Arial"/>
          <w:b/>
          <w:szCs w:val="24"/>
        </w:rPr>
        <w:t>Equality Impact Assessment</w:t>
      </w:r>
    </w:p>
    <w:p w14:paraId="4AE24A6B" w14:textId="77777777" w:rsidR="00DC6A38" w:rsidRPr="000208A9" w:rsidRDefault="00DC6A38" w:rsidP="00DC6A38">
      <w:pPr>
        <w:rPr>
          <w:rFonts w:eastAsia="Arial Unicode MS" w:cs="Arial"/>
          <w:szCs w:val="24"/>
        </w:rPr>
      </w:pPr>
      <w:r w:rsidRPr="000208A9">
        <w:rPr>
          <w:rFonts w:eastAsia="Arial Unicode MS" w:cs="Arial"/>
          <w:szCs w:val="24"/>
        </w:rPr>
        <w:t>The Trust is committed to promoting Equality, Diversity and Human Rights in all areas of its activities.</w:t>
      </w:r>
    </w:p>
    <w:p w14:paraId="664DB9EB" w14:textId="77777777" w:rsidR="00DC6A38" w:rsidRPr="000208A9" w:rsidRDefault="00DC6A38" w:rsidP="00DC6A38">
      <w:pPr>
        <w:rPr>
          <w:rFonts w:eastAsia="Arial Unicode MS" w:cs="Arial"/>
          <w:szCs w:val="24"/>
        </w:rPr>
      </w:pPr>
    </w:p>
    <w:p w14:paraId="4EE25E69" w14:textId="77777777" w:rsidR="00DC6A38" w:rsidRPr="000208A9" w:rsidRDefault="00DC6A38" w:rsidP="00DC6A38">
      <w:pPr>
        <w:rPr>
          <w:rFonts w:eastAsia="Arial Unicode MS" w:cs="Arial"/>
          <w:szCs w:val="24"/>
        </w:rPr>
      </w:pPr>
      <w:r w:rsidRPr="000208A9">
        <w:rPr>
          <w:rFonts w:eastAsia="Arial Unicode MS" w:cs="Arial"/>
          <w:szCs w:val="24"/>
        </w:rPr>
        <w:t>The Trust undertakes Equality Impact Assessments to ensure that its activities do not discriminate on the grounds of:</w:t>
      </w:r>
    </w:p>
    <w:tbl>
      <w:tblPr>
        <w:tblpPr w:leftFromText="180" w:rightFromText="180" w:vertAnchor="text" w:horzAnchor="margin" w:tblpXSpec="center" w:tblpY="194"/>
        <w:tblW w:w="0" w:type="auto"/>
        <w:tblLook w:val="0000" w:firstRow="0" w:lastRow="0" w:firstColumn="0" w:lastColumn="0" w:noHBand="0" w:noVBand="0"/>
      </w:tblPr>
      <w:tblGrid>
        <w:gridCol w:w="3440"/>
        <w:gridCol w:w="3382"/>
      </w:tblGrid>
      <w:tr w:rsidR="00DC6A38" w:rsidRPr="000208A9" w14:paraId="373DFC26" w14:textId="77777777" w:rsidTr="00E97E4E">
        <w:trPr>
          <w:trHeight w:val="80"/>
        </w:trPr>
        <w:tc>
          <w:tcPr>
            <w:tcW w:w="3440" w:type="dxa"/>
            <w:vAlign w:val="center"/>
          </w:tcPr>
          <w:p w14:paraId="5D4CCD84" w14:textId="77777777" w:rsidR="00DC6A38" w:rsidRPr="000208A9" w:rsidRDefault="00DC6A38" w:rsidP="00E97E4E">
            <w:pPr>
              <w:rPr>
                <w:rFonts w:eastAsia="Arial Unicode MS" w:cs="Arial"/>
                <w:szCs w:val="24"/>
              </w:rPr>
            </w:pPr>
            <w:r w:rsidRPr="000208A9">
              <w:rPr>
                <w:rFonts w:eastAsia="Arial Unicode MS" w:cs="Arial"/>
                <w:szCs w:val="24"/>
              </w:rPr>
              <w:t>Religion or belief</w:t>
            </w:r>
          </w:p>
        </w:tc>
        <w:tc>
          <w:tcPr>
            <w:tcW w:w="3382" w:type="dxa"/>
            <w:vAlign w:val="center"/>
          </w:tcPr>
          <w:p w14:paraId="667525F4" w14:textId="77777777" w:rsidR="00DC6A38" w:rsidRPr="000208A9" w:rsidRDefault="00DC6A38" w:rsidP="00E97E4E">
            <w:pPr>
              <w:rPr>
                <w:rFonts w:eastAsia="Arial Unicode MS" w:cs="Arial"/>
                <w:szCs w:val="24"/>
              </w:rPr>
            </w:pPr>
            <w:r w:rsidRPr="000208A9">
              <w:rPr>
                <w:rFonts w:eastAsia="Arial Unicode MS" w:cs="Arial"/>
                <w:szCs w:val="24"/>
              </w:rPr>
              <w:t>Age</w:t>
            </w:r>
          </w:p>
        </w:tc>
      </w:tr>
      <w:tr w:rsidR="00DC6A38" w:rsidRPr="000208A9" w14:paraId="0634356A" w14:textId="77777777" w:rsidTr="00E97E4E">
        <w:tc>
          <w:tcPr>
            <w:tcW w:w="3440" w:type="dxa"/>
            <w:vAlign w:val="center"/>
          </w:tcPr>
          <w:p w14:paraId="5FFF16F8" w14:textId="77777777" w:rsidR="00DC6A38" w:rsidRPr="000208A9" w:rsidRDefault="00DC6A38" w:rsidP="00E97E4E">
            <w:pPr>
              <w:rPr>
                <w:rFonts w:eastAsia="Arial Unicode MS" w:cs="Arial"/>
                <w:szCs w:val="24"/>
              </w:rPr>
            </w:pPr>
            <w:r w:rsidRPr="000208A9">
              <w:rPr>
                <w:rFonts w:eastAsia="Arial Unicode MS" w:cs="Arial"/>
                <w:szCs w:val="24"/>
              </w:rPr>
              <w:t>Disability</w:t>
            </w:r>
          </w:p>
        </w:tc>
        <w:tc>
          <w:tcPr>
            <w:tcW w:w="3382" w:type="dxa"/>
            <w:vAlign w:val="center"/>
          </w:tcPr>
          <w:p w14:paraId="582107C7" w14:textId="77777777" w:rsidR="00DC6A38" w:rsidRPr="000208A9" w:rsidRDefault="00DC6A38" w:rsidP="00E97E4E">
            <w:pPr>
              <w:rPr>
                <w:rFonts w:eastAsia="Arial Unicode MS" w:cs="Arial"/>
                <w:szCs w:val="24"/>
              </w:rPr>
            </w:pPr>
            <w:r w:rsidRPr="000208A9">
              <w:rPr>
                <w:rFonts w:eastAsia="Arial Unicode MS" w:cs="Arial"/>
                <w:szCs w:val="24"/>
              </w:rPr>
              <w:t>Race or ethnicity</w:t>
            </w:r>
          </w:p>
        </w:tc>
      </w:tr>
      <w:tr w:rsidR="00DC6A38" w:rsidRPr="000208A9" w14:paraId="7D6FAA99" w14:textId="77777777" w:rsidTr="00E97E4E">
        <w:tc>
          <w:tcPr>
            <w:tcW w:w="3440" w:type="dxa"/>
            <w:vAlign w:val="center"/>
          </w:tcPr>
          <w:p w14:paraId="1BF1C800" w14:textId="77777777" w:rsidR="00DC6A38" w:rsidRPr="000208A9" w:rsidRDefault="00DC6A38" w:rsidP="00E97E4E">
            <w:pPr>
              <w:rPr>
                <w:rFonts w:eastAsia="Arial Unicode MS" w:cs="Arial"/>
                <w:szCs w:val="24"/>
              </w:rPr>
            </w:pPr>
            <w:r w:rsidRPr="000208A9">
              <w:rPr>
                <w:rFonts w:eastAsia="Arial Unicode MS" w:cs="Arial"/>
                <w:szCs w:val="24"/>
              </w:rPr>
              <w:t>Sex or gender</w:t>
            </w:r>
          </w:p>
        </w:tc>
        <w:tc>
          <w:tcPr>
            <w:tcW w:w="3382" w:type="dxa"/>
            <w:vAlign w:val="center"/>
          </w:tcPr>
          <w:p w14:paraId="25926D16" w14:textId="77777777" w:rsidR="00DC6A38" w:rsidRPr="000208A9" w:rsidRDefault="00DC6A38" w:rsidP="00E97E4E">
            <w:pPr>
              <w:rPr>
                <w:rFonts w:eastAsia="Arial Unicode MS" w:cs="Arial"/>
                <w:szCs w:val="24"/>
              </w:rPr>
            </w:pPr>
            <w:r w:rsidRPr="000208A9">
              <w:rPr>
                <w:rFonts w:eastAsia="Arial Unicode MS" w:cs="Arial"/>
                <w:szCs w:val="24"/>
              </w:rPr>
              <w:t>Sexual orientation</w:t>
            </w:r>
          </w:p>
        </w:tc>
      </w:tr>
      <w:tr w:rsidR="00DC6A38" w:rsidRPr="000208A9" w14:paraId="6184C703" w14:textId="77777777" w:rsidTr="00E97E4E">
        <w:tc>
          <w:tcPr>
            <w:tcW w:w="3440" w:type="dxa"/>
            <w:vAlign w:val="center"/>
          </w:tcPr>
          <w:p w14:paraId="3FF0A5F8" w14:textId="77777777" w:rsidR="00DC6A38" w:rsidRPr="000208A9" w:rsidRDefault="00DC6A38" w:rsidP="00E97E4E">
            <w:pPr>
              <w:rPr>
                <w:rFonts w:eastAsia="Arial Unicode MS" w:cs="Arial"/>
                <w:szCs w:val="24"/>
              </w:rPr>
            </w:pPr>
            <w:r w:rsidRPr="000208A9">
              <w:rPr>
                <w:rFonts w:eastAsia="Arial Unicode MS" w:cs="Arial"/>
                <w:szCs w:val="24"/>
              </w:rPr>
              <w:t>Human Rights</w:t>
            </w:r>
          </w:p>
        </w:tc>
        <w:tc>
          <w:tcPr>
            <w:tcW w:w="3382" w:type="dxa"/>
            <w:vAlign w:val="center"/>
          </w:tcPr>
          <w:p w14:paraId="0E1BF4A3" w14:textId="77777777" w:rsidR="00DC6A38" w:rsidRPr="000208A9" w:rsidRDefault="00DC6A38" w:rsidP="00E97E4E">
            <w:pPr>
              <w:rPr>
                <w:rFonts w:eastAsia="Arial Unicode MS" w:cs="Arial"/>
                <w:szCs w:val="24"/>
              </w:rPr>
            </w:pPr>
            <w:r w:rsidRPr="000208A9">
              <w:rPr>
                <w:rFonts w:eastAsia="Arial Unicode MS" w:cs="Arial"/>
                <w:szCs w:val="24"/>
              </w:rPr>
              <w:t>Socio economic</w:t>
            </w:r>
          </w:p>
        </w:tc>
      </w:tr>
    </w:tbl>
    <w:p w14:paraId="3DD3A7F7" w14:textId="77777777" w:rsidR="00DC6A38" w:rsidRPr="000208A9" w:rsidRDefault="00DC6A38" w:rsidP="00DC6A38">
      <w:pPr>
        <w:rPr>
          <w:rFonts w:eastAsia="Arial Unicode MS" w:cs="Arial"/>
          <w:szCs w:val="24"/>
        </w:rPr>
      </w:pPr>
    </w:p>
    <w:p w14:paraId="7BDF7B74" w14:textId="77777777" w:rsidR="00DC6A38" w:rsidRPr="000208A9" w:rsidRDefault="00DC6A38" w:rsidP="00DC6A38">
      <w:pPr>
        <w:rPr>
          <w:rFonts w:eastAsia="Arial Unicode MS" w:cs="Arial"/>
          <w:szCs w:val="24"/>
        </w:rPr>
      </w:pPr>
    </w:p>
    <w:p w14:paraId="47901158" w14:textId="77777777" w:rsidR="00DC6A38" w:rsidRPr="000208A9" w:rsidRDefault="00DC6A38" w:rsidP="00DC6A38">
      <w:pPr>
        <w:rPr>
          <w:rFonts w:eastAsia="Arial Unicode MS" w:cs="Arial"/>
          <w:szCs w:val="24"/>
        </w:rPr>
      </w:pPr>
    </w:p>
    <w:p w14:paraId="7CF62EB6" w14:textId="77777777" w:rsidR="00E97E4E" w:rsidRPr="00E97E4E" w:rsidRDefault="00E97E4E" w:rsidP="002D1C0E">
      <w:pPr>
        <w:pStyle w:val="BodyTextIndent"/>
        <w:tabs>
          <w:tab w:val="num" w:pos="720"/>
        </w:tabs>
        <w:spacing w:after="240"/>
        <w:ind w:left="0" w:right="45"/>
        <w:jc w:val="left"/>
        <w:rPr>
          <w:rFonts w:eastAsia="Arial Unicode MS" w:cs="Arial"/>
          <w:sz w:val="10"/>
          <w:szCs w:val="24"/>
        </w:rPr>
      </w:pPr>
    </w:p>
    <w:p w14:paraId="0B6B02D8" w14:textId="77777777" w:rsidR="00E97E4E" w:rsidRDefault="00E97E4E" w:rsidP="002D1C0E">
      <w:pPr>
        <w:pStyle w:val="BodyTextIndent"/>
        <w:tabs>
          <w:tab w:val="num" w:pos="720"/>
        </w:tabs>
        <w:spacing w:after="240"/>
        <w:ind w:left="0" w:right="45"/>
        <w:jc w:val="left"/>
        <w:rPr>
          <w:rFonts w:eastAsia="Arial Unicode MS" w:cs="Arial"/>
          <w:sz w:val="24"/>
          <w:szCs w:val="24"/>
        </w:rPr>
      </w:pPr>
    </w:p>
    <w:p w14:paraId="2358BC5D" w14:textId="77777777" w:rsidR="00DC6A38" w:rsidRPr="000208A9" w:rsidRDefault="00DC6A38" w:rsidP="002D1C0E">
      <w:pPr>
        <w:pStyle w:val="BodyTextIndent"/>
        <w:tabs>
          <w:tab w:val="num" w:pos="720"/>
        </w:tabs>
        <w:spacing w:after="240"/>
        <w:ind w:left="0" w:right="45"/>
        <w:jc w:val="left"/>
        <w:rPr>
          <w:rFonts w:eastAsia="Arial Unicode MS" w:cs="Arial"/>
          <w:sz w:val="24"/>
          <w:szCs w:val="24"/>
        </w:rPr>
      </w:pPr>
      <w:r w:rsidRPr="000208A9">
        <w:rPr>
          <w:rFonts w:eastAsia="Arial Unicode MS" w:cs="Arial"/>
          <w:sz w:val="24"/>
          <w:szCs w:val="24"/>
        </w:rPr>
        <w:t>This SOP has been equality impact assessed by the author using the Trust’s Equality Impact Assessment (EqIA), and has been registered with the Service Equality Team.</w:t>
      </w:r>
    </w:p>
    <w:p w14:paraId="1E3EEF7D" w14:textId="77777777" w:rsidR="00DC6A38" w:rsidRPr="000208A9" w:rsidRDefault="00DC6A38" w:rsidP="002D1C0E">
      <w:pPr>
        <w:pStyle w:val="BodyTextIndent"/>
        <w:tabs>
          <w:tab w:val="num" w:pos="720"/>
        </w:tabs>
        <w:spacing w:after="240"/>
        <w:ind w:left="0" w:right="45"/>
        <w:jc w:val="left"/>
        <w:rPr>
          <w:rFonts w:eastAsia="Arial Unicode MS" w:cs="Arial"/>
          <w:sz w:val="24"/>
          <w:szCs w:val="24"/>
        </w:rPr>
      </w:pPr>
      <w:r w:rsidRPr="000208A9">
        <w:rPr>
          <w:rFonts w:eastAsia="Arial Unicode MS" w:cs="Arial"/>
          <w:sz w:val="24"/>
          <w:szCs w:val="24"/>
        </w:rPr>
        <w:t>The EqIA score falls under low priority; no significant issues in relation to age, disability, gender reassignment, marriage and civil partnership, pregnancy and maternity, race, religion or belief, sexual orientation are identified as raising a concern.</w:t>
      </w:r>
      <w:r w:rsidRPr="000208A9">
        <w:rPr>
          <w:rFonts w:eastAsia="Arial Unicode MS" w:cs="Arial"/>
          <w:sz w:val="24"/>
          <w:szCs w:val="24"/>
        </w:rPr>
        <w:tab/>
      </w:r>
    </w:p>
    <w:p w14:paraId="6F764E9F" w14:textId="77777777" w:rsidR="008C5C63" w:rsidRPr="000208A9" w:rsidRDefault="007555D9" w:rsidP="009C5CDE">
      <w:pPr>
        <w:spacing w:after="240"/>
        <w:rPr>
          <w:rFonts w:cs="Arial"/>
          <w:b/>
          <w:szCs w:val="24"/>
        </w:rPr>
      </w:pPr>
      <w:r>
        <w:rPr>
          <w:rFonts w:cs="Arial"/>
          <w:b/>
          <w:szCs w:val="24"/>
        </w:rPr>
        <w:t>7</w:t>
      </w:r>
      <w:r w:rsidR="00DC6A38" w:rsidRPr="000208A9">
        <w:rPr>
          <w:rFonts w:cs="Arial"/>
          <w:szCs w:val="24"/>
        </w:rPr>
        <w:tab/>
      </w:r>
      <w:r w:rsidR="008C5C63" w:rsidRPr="000208A9">
        <w:rPr>
          <w:rFonts w:cs="Arial"/>
          <w:b/>
          <w:szCs w:val="24"/>
        </w:rPr>
        <w:t>Consultation, Approval and Ratification Process</w:t>
      </w:r>
    </w:p>
    <w:p w14:paraId="28B31D27" w14:textId="77777777" w:rsidR="00DC6A38" w:rsidRPr="000208A9" w:rsidRDefault="00DC6A38" w:rsidP="00DC6A38">
      <w:pPr>
        <w:spacing w:after="240"/>
        <w:rPr>
          <w:rFonts w:eastAsia="Arial Unicode MS" w:cs="Arial"/>
          <w:szCs w:val="24"/>
        </w:rPr>
      </w:pPr>
      <w:r w:rsidRPr="000208A9">
        <w:rPr>
          <w:rFonts w:eastAsia="Arial Unicode MS" w:cs="Arial"/>
          <w:szCs w:val="24"/>
        </w:rPr>
        <w:t>Trustwide research SOPs are written by a member of the Research Office staff with relevant expertise and experience.  Additional advice may be sought from members of the research community both within and external to the Trust.</w:t>
      </w:r>
    </w:p>
    <w:p w14:paraId="7A723084" w14:textId="77777777" w:rsidR="00DC6A38" w:rsidRPr="000208A9" w:rsidRDefault="00DC6A38" w:rsidP="00DC6A38">
      <w:pPr>
        <w:spacing w:after="240"/>
        <w:rPr>
          <w:rFonts w:eastAsia="Arial Unicode MS" w:cs="Arial"/>
          <w:szCs w:val="24"/>
        </w:rPr>
      </w:pPr>
      <w:r w:rsidRPr="000208A9">
        <w:rPr>
          <w:rFonts w:eastAsia="Arial Unicode MS" w:cs="Arial"/>
          <w:szCs w:val="24"/>
        </w:rPr>
        <w:t>Trustwide research SOPs are reviewed by a sub-group of the Sponsorship and Governance Oversight Committee (SAGO).  They are ratified by SAGO, which is a sub-committee of the Group Research Governance Committee (GRGC).  SAGO’s Terms of Reference are available on request from the Research Office.</w:t>
      </w:r>
    </w:p>
    <w:p w14:paraId="09BC1F82" w14:textId="77777777" w:rsidR="00DC6A38" w:rsidRPr="000208A9" w:rsidRDefault="00DC6A38" w:rsidP="00DC6A38">
      <w:pPr>
        <w:spacing w:after="240"/>
        <w:rPr>
          <w:rFonts w:eastAsia="Arial Unicode MS" w:cs="Arial"/>
          <w:szCs w:val="24"/>
        </w:rPr>
      </w:pPr>
      <w:r w:rsidRPr="000208A9">
        <w:rPr>
          <w:rFonts w:eastAsia="Arial Unicode MS" w:cs="Arial"/>
          <w:szCs w:val="24"/>
        </w:rPr>
        <w:t>Trustwide research SOPs will be reviewed at least every three years, with interim revisions made as required.</w:t>
      </w:r>
    </w:p>
    <w:p w14:paraId="111172E8" w14:textId="77777777" w:rsidR="00DC6A38" w:rsidRPr="000208A9" w:rsidRDefault="007555D9" w:rsidP="00DC6A38">
      <w:pPr>
        <w:spacing w:after="240"/>
        <w:rPr>
          <w:rFonts w:eastAsia="Arial Unicode MS" w:cs="Arial"/>
          <w:szCs w:val="24"/>
        </w:rPr>
      </w:pPr>
      <w:r>
        <w:rPr>
          <w:rFonts w:eastAsia="Arial Unicode MS" w:cs="Arial"/>
          <w:b/>
          <w:szCs w:val="24"/>
        </w:rPr>
        <w:t>8</w:t>
      </w:r>
      <w:r w:rsidR="00DC6A38" w:rsidRPr="000208A9">
        <w:rPr>
          <w:rFonts w:eastAsia="Arial Unicode MS" w:cs="Arial"/>
          <w:szCs w:val="24"/>
        </w:rPr>
        <w:tab/>
      </w:r>
      <w:r w:rsidR="00DC6A38" w:rsidRPr="000208A9">
        <w:rPr>
          <w:rFonts w:cs="Arial"/>
          <w:b/>
          <w:szCs w:val="24"/>
        </w:rPr>
        <w:t>Dissemination and Implementation</w:t>
      </w:r>
    </w:p>
    <w:p w14:paraId="6571D5FE" w14:textId="77777777" w:rsidR="00DC6A38" w:rsidRPr="000208A9" w:rsidRDefault="00DC6A38" w:rsidP="00DC6A38">
      <w:pPr>
        <w:rPr>
          <w:rFonts w:eastAsia="Arial Unicode MS" w:cs="Arial"/>
          <w:szCs w:val="24"/>
          <w:u w:val="single"/>
        </w:rPr>
      </w:pPr>
      <w:r w:rsidRPr="000208A9">
        <w:rPr>
          <w:rFonts w:eastAsia="Arial Unicode MS" w:cs="Arial"/>
          <w:szCs w:val="24"/>
          <w:u w:val="single"/>
        </w:rPr>
        <w:t>Dissemination</w:t>
      </w:r>
    </w:p>
    <w:p w14:paraId="5B2B5574" w14:textId="77777777" w:rsidR="00DC6A38" w:rsidRPr="000208A9" w:rsidRDefault="00DC6A38" w:rsidP="00DC6A38">
      <w:pPr>
        <w:spacing w:after="240"/>
        <w:rPr>
          <w:rFonts w:eastAsia="Arial Unicode MS" w:cs="Arial"/>
          <w:szCs w:val="24"/>
        </w:rPr>
      </w:pPr>
      <w:r w:rsidRPr="000208A9">
        <w:rPr>
          <w:rFonts w:eastAsia="Arial Unicode MS" w:cs="Arial"/>
          <w:szCs w:val="24"/>
        </w:rPr>
        <w:t>When approved, this SOP will be posted on the Trust Intranet sites.  Only the current version will be available.  Researchers who do not have access to the intranet can obtain copies of the master SOP list and all Trustwide research SOPs from the Research Office.</w:t>
      </w:r>
    </w:p>
    <w:p w14:paraId="287A175D" w14:textId="77777777" w:rsidR="00DC6A38" w:rsidRPr="000208A9" w:rsidRDefault="00DC6A38" w:rsidP="00DC6A38">
      <w:pPr>
        <w:spacing w:after="240"/>
        <w:rPr>
          <w:rFonts w:eastAsia="Arial Unicode MS" w:cs="Arial"/>
          <w:szCs w:val="24"/>
        </w:rPr>
      </w:pPr>
      <w:r w:rsidRPr="000208A9">
        <w:rPr>
          <w:rFonts w:eastAsia="Arial Unicode MS" w:cs="Arial"/>
          <w:szCs w:val="24"/>
        </w:rPr>
        <w:t>Notification of updates to SOPs will be made available via the Research Office Bulletin.  The updated SOP list will also be disseminated to Research Managers who will update the Standard Operating Procedures (SOPs) Declaration Form, which forms part of the competency framework for both clinical and non-clinical research staff.</w:t>
      </w:r>
    </w:p>
    <w:p w14:paraId="6EDF048D" w14:textId="77777777" w:rsidR="00DC6A38" w:rsidRPr="000208A9" w:rsidRDefault="00DC6A38" w:rsidP="00DC6A38">
      <w:pPr>
        <w:spacing w:after="240"/>
        <w:rPr>
          <w:rFonts w:eastAsia="Arial Unicode MS" w:cs="Arial"/>
          <w:szCs w:val="24"/>
        </w:rPr>
      </w:pPr>
      <w:r w:rsidRPr="000208A9">
        <w:rPr>
          <w:rFonts w:eastAsia="Arial Unicode MS" w:cs="Arial"/>
          <w:szCs w:val="24"/>
        </w:rPr>
        <w:lastRenderedPageBreak/>
        <w:t>The master copies of all Trustwide research SOPs are stored in a document management system in the Research Office.</w:t>
      </w:r>
    </w:p>
    <w:p w14:paraId="7CBE9725" w14:textId="77777777" w:rsidR="00DC6A38" w:rsidRPr="000208A9" w:rsidRDefault="00DC6A38" w:rsidP="00DC6A38">
      <w:pPr>
        <w:rPr>
          <w:rFonts w:eastAsia="Arial Unicode MS" w:cs="Arial"/>
          <w:szCs w:val="24"/>
          <w:u w:val="single"/>
        </w:rPr>
      </w:pPr>
      <w:r w:rsidRPr="000208A9">
        <w:rPr>
          <w:rFonts w:eastAsia="Arial Unicode MS" w:cs="Arial"/>
          <w:szCs w:val="24"/>
          <w:u w:val="single"/>
        </w:rPr>
        <w:t>Implementation of Procedural Documents</w:t>
      </w:r>
    </w:p>
    <w:p w14:paraId="36B96572" w14:textId="77777777" w:rsidR="00DC6A38" w:rsidRPr="000208A9" w:rsidRDefault="00DC6A38" w:rsidP="00DC6A38">
      <w:pPr>
        <w:spacing w:after="240"/>
        <w:rPr>
          <w:rFonts w:eastAsia="Arial Unicode MS" w:cs="Arial"/>
          <w:szCs w:val="24"/>
        </w:rPr>
      </w:pPr>
      <w:r w:rsidRPr="000208A9">
        <w:rPr>
          <w:rFonts w:eastAsia="Arial Unicode MS" w:cs="Arial"/>
          <w:szCs w:val="24"/>
        </w:rPr>
        <w:t>Support and advice on the implementation of this SOP can be obtained from the Research Office or local Research Manager.</w:t>
      </w:r>
    </w:p>
    <w:p w14:paraId="01759BC3" w14:textId="77777777" w:rsidR="00DC6A38" w:rsidRPr="000208A9" w:rsidRDefault="007555D9" w:rsidP="000208A9">
      <w:pPr>
        <w:ind w:left="709" w:hanging="709"/>
        <w:rPr>
          <w:rFonts w:cs="Arial"/>
          <w:b/>
          <w:szCs w:val="24"/>
        </w:rPr>
      </w:pPr>
      <w:r>
        <w:rPr>
          <w:rFonts w:eastAsia="Arial Unicode MS" w:cs="Arial"/>
          <w:b/>
          <w:szCs w:val="24"/>
        </w:rPr>
        <w:t>9</w:t>
      </w:r>
      <w:r w:rsidR="00DC6A38" w:rsidRPr="000208A9">
        <w:rPr>
          <w:rFonts w:eastAsia="Arial Unicode MS" w:cs="Arial"/>
          <w:szCs w:val="24"/>
        </w:rPr>
        <w:tab/>
      </w:r>
      <w:r w:rsidR="00DC6A38" w:rsidRPr="000208A9">
        <w:rPr>
          <w:rFonts w:cs="Arial"/>
          <w:b/>
          <w:szCs w:val="24"/>
        </w:rPr>
        <w:t xml:space="preserve">Monitoring Compliance to RI SOP </w:t>
      </w:r>
      <w:r w:rsidR="008F5B6E">
        <w:rPr>
          <w:rFonts w:cs="Arial"/>
          <w:b/>
          <w:szCs w:val="24"/>
        </w:rPr>
        <w:t>08D</w:t>
      </w:r>
      <w:r w:rsidR="00DC6A38" w:rsidRPr="000208A9">
        <w:rPr>
          <w:rFonts w:cs="Arial"/>
          <w:b/>
          <w:szCs w:val="24"/>
        </w:rPr>
        <w:t xml:space="preserve"> </w:t>
      </w:r>
      <w:r w:rsidR="008F5B6E">
        <w:rPr>
          <w:rFonts w:cs="Arial"/>
          <w:b/>
          <w:szCs w:val="24"/>
        </w:rPr>
        <w:t>Safety Reporting in Clinical Investigations of Medical Devices (MHRA Regulated)</w:t>
      </w:r>
      <w:r w:rsidR="00DC6A38" w:rsidRPr="000208A9">
        <w:rPr>
          <w:rFonts w:cs="Arial"/>
          <w:b/>
          <w:szCs w:val="24"/>
        </w:rPr>
        <w:t xml:space="preserve"> </w:t>
      </w:r>
    </w:p>
    <w:p w14:paraId="17E5370C" w14:textId="77777777" w:rsidR="00DC6A38" w:rsidRPr="000208A9" w:rsidRDefault="00DC6A38" w:rsidP="00DC6A38">
      <w:pPr>
        <w:rPr>
          <w:rFonts w:cs="Arial"/>
          <w:b/>
          <w:szCs w:val="24"/>
        </w:rPr>
      </w:pPr>
    </w:p>
    <w:p w14:paraId="4F7D8B78" w14:textId="77777777" w:rsidR="00DC6A38" w:rsidRPr="000208A9" w:rsidRDefault="00DC6A38" w:rsidP="00DC6A38">
      <w:pPr>
        <w:pStyle w:val="Header"/>
        <w:tabs>
          <w:tab w:val="clear" w:pos="4153"/>
          <w:tab w:val="clear" w:pos="8306"/>
        </w:tabs>
        <w:spacing w:after="240"/>
        <w:rPr>
          <w:rFonts w:eastAsia="Arial Unicode MS" w:cs="Arial"/>
          <w:szCs w:val="24"/>
        </w:rPr>
      </w:pPr>
      <w:r w:rsidRPr="000208A9">
        <w:rPr>
          <w:rFonts w:eastAsia="Arial Unicode MS" w:cs="Arial"/>
          <w:szCs w:val="24"/>
        </w:rPr>
        <w:t>Compliance to Trustwide research SOPs by researchers will be monitored via the Trust’s Research Governance Monitoring and Audit programmes.</w:t>
      </w:r>
    </w:p>
    <w:p w14:paraId="1E5C6435" w14:textId="77777777" w:rsidR="00DC6A38" w:rsidRPr="000208A9" w:rsidRDefault="00DC6A38" w:rsidP="00DC6A38">
      <w:pPr>
        <w:rPr>
          <w:rFonts w:eastAsia="Arial Unicode MS" w:cs="Arial"/>
          <w:szCs w:val="24"/>
          <w:u w:val="single"/>
        </w:rPr>
      </w:pPr>
      <w:r w:rsidRPr="000208A9">
        <w:rPr>
          <w:rFonts w:eastAsia="Arial Unicode MS" w:cs="Arial"/>
          <w:szCs w:val="24"/>
          <w:u w:val="single"/>
        </w:rPr>
        <w:t>Process for Monitoring Compliance and Effectiveness</w:t>
      </w:r>
    </w:p>
    <w:p w14:paraId="597D0CBC" w14:textId="77777777" w:rsidR="00DC6A38" w:rsidRPr="000208A9" w:rsidRDefault="00DC6A38" w:rsidP="00DC6A38">
      <w:pPr>
        <w:rPr>
          <w:rFonts w:eastAsia="Arial Unicode MS" w:cs="Arial"/>
          <w:szCs w:val="24"/>
        </w:rPr>
      </w:pPr>
      <w:r w:rsidRPr="000208A9">
        <w:rPr>
          <w:rFonts w:eastAsia="Arial Unicode MS" w:cs="Arial"/>
          <w:szCs w:val="24"/>
        </w:rPr>
        <w:t xml:space="preserve">The Quality </w:t>
      </w:r>
      <w:r w:rsidR="00C759F8">
        <w:rPr>
          <w:rFonts w:eastAsia="Arial Unicode MS" w:cs="Arial"/>
          <w:szCs w:val="24"/>
        </w:rPr>
        <w:t xml:space="preserve">Assurance Manager </w:t>
      </w:r>
      <w:r w:rsidRPr="000208A9">
        <w:rPr>
          <w:rFonts w:eastAsia="Arial Unicode MS" w:cs="Arial"/>
          <w:szCs w:val="24"/>
        </w:rPr>
        <w:t>is responsible for monitoring compliance with Trustwide research SOPs.</w:t>
      </w:r>
    </w:p>
    <w:p w14:paraId="2D5E6D14" w14:textId="77777777" w:rsidR="00DC6A38" w:rsidRPr="000208A9" w:rsidRDefault="00DC6A38" w:rsidP="00DC6A38">
      <w:pPr>
        <w:rPr>
          <w:rFonts w:eastAsia="Arial Unicode MS" w:cs="Arial"/>
          <w:szCs w:val="24"/>
        </w:rPr>
      </w:pPr>
    </w:p>
    <w:p w14:paraId="1A8B5782" w14:textId="77777777" w:rsidR="00DC6A38" w:rsidRDefault="00DC6A38" w:rsidP="00DC6A38">
      <w:pPr>
        <w:rPr>
          <w:rFonts w:eastAsia="Arial Unicode MS" w:cs="Arial"/>
          <w:szCs w:val="24"/>
        </w:rPr>
      </w:pPr>
      <w:r w:rsidRPr="000208A9">
        <w:rPr>
          <w:rFonts w:eastAsia="Arial Unicode MS" w:cs="Arial"/>
          <w:szCs w:val="24"/>
        </w:rPr>
        <w:t>Instances of non-compliance rated as critical will be escalated to the Senior Governance team and may be reported to the Sponsorship and Governance Oversight Committee.</w:t>
      </w:r>
    </w:p>
    <w:p w14:paraId="6EA8D563" w14:textId="77777777" w:rsidR="00CB11CC" w:rsidRPr="000208A9" w:rsidRDefault="00CB11CC" w:rsidP="00DC6A38">
      <w:pPr>
        <w:rPr>
          <w:rFonts w:eastAsia="Arial Unicode MS" w:cs="Arial"/>
          <w:szCs w:val="24"/>
        </w:rPr>
      </w:pPr>
    </w:p>
    <w:p w14:paraId="5E0F3BE3" w14:textId="77777777" w:rsidR="00DC6A38" w:rsidRDefault="00DC6A38" w:rsidP="00DC6A38">
      <w:pPr>
        <w:rPr>
          <w:rFonts w:cs="Arial"/>
          <w:b/>
          <w:szCs w:val="24"/>
        </w:rPr>
      </w:pPr>
      <w:r w:rsidRPr="000208A9">
        <w:rPr>
          <w:rFonts w:cs="Arial"/>
          <w:b/>
          <w:szCs w:val="24"/>
        </w:rPr>
        <w:t>1</w:t>
      </w:r>
      <w:r w:rsidR="007555D9">
        <w:rPr>
          <w:rFonts w:cs="Arial"/>
          <w:b/>
          <w:szCs w:val="24"/>
        </w:rPr>
        <w:t>0</w:t>
      </w:r>
      <w:r w:rsidRPr="000208A9">
        <w:rPr>
          <w:rFonts w:cs="Arial"/>
          <w:b/>
          <w:szCs w:val="24"/>
        </w:rPr>
        <w:tab/>
        <w:t>Standards and Key Performance Indicators ‘KPIs’</w:t>
      </w:r>
    </w:p>
    <w:p w14:paraId="0979564D" w14:textId="77777777" w:rsidR="00CB11CC" w:rsidRPr="000208A9" w:rsidRDefault="00CB11CC" w:rsidP="00DC6A38">
      <w:pPr>
        <w:rPr>
          <w:rFonts w:cs="Arial"/>
          <w:b/>
          <w:szCs w:val="24"/>
        </w:rPr>
      </w:pPr>
    </w:p>
    <w:p w14:paraId="0EF06B7E" w14:textId="77777777" w:rsidR="00DC6A38" w:rsidRPr="000208A9" w:rsidRDefault="00DC6A38" w:rsidP="00DC6A38">
      <w:pPr>
        <w:spacing w:after="240"/>
        <w:rPr>
          <w:rFonts w:cs="Arial"/>
          <w:b/>
          <w:szCs w:val="24"/>
        </w:rPr>
      </w:pPr>
      <w:r w:rsidRPr="000208A9">
        <w:rPr>
          <w:rFonts w:cs="Arial"/>
          <w:szCs w:val="24"/>
        </w:rPr>
        <w:t>Trustwide research SOPs will be available on the Trust intranet and from the Trust Research Office.</w:t>
      </w:r>
    </w:p>
    <w:p w14:paraId="385877FF" w14:textId="77777777" w:rsidR="00DC6A38" w:rsidRPr="000208A9" w:rsidRDefault="00DC6A38" w:rsidP="00DC6A38">
      <w:pPr>
        <w:spacing w:after="240"/>
        <w:rPr>
          <w:rFonts w:cs="Arial"/>
          <w:b/>
          <w:szCs w:val="24"/>
        </w:rPr>
      </w:pPr>
      <w:r w:rsidRPr="000208A9">
        <w:rPr>
          <w:rFonts w:cs="Arial"/>
          <w:szCs w:val="24"/>
        </w:rPr>
        <w:t>Trustwide research SOPs must be reviewed at least every three years or when significant changes to the document are required.</w:t>
      </w:r>
    </w:p>
    <w:p w14:paraId="35004675" w14:textId="77777777" w:rsidR="00C20035" w:rsidRPr="00C80181" w:rsidRDefault="00DC6A38" w:rsidP="00DC6A38">
      <w:pPr>
        <w:spacing w:after="240"/>
        <w:rPr>
          <w:rFonts w:cs="Arial"/>
          <w:szCs w:val="24"/>
        </w:rPr>
      </w:pPr>
      <w:r w:rsidRPr="000208A9">
        <w:rPr>
          <w:rFonts w:cs="Arial"/>
          <w:szCs w:val="24"/>
        </w:rPr>
        <w:t>Awareness of Trustwide research SOPs will be delivered via R&amp;I Staff Induction, the Research Office’s training programmes and at individuals’ annual appraisals.</w:t>
      </w:r>
    </w:p>
    <w:p w14:paraId="669BC1A8" w14:textId="77777777" w:rsidR="004444C0" w:rsidRPr="00BD610A" w:rsidRDefault="00DC6A38" w:rsidP="00BD610A">
      <w:pPr>
        <w:spacing w:after="240"/>
        <w:rPr>
          <w:rFonts w:cs="Arial"/>
          <w:b/>
          <w:szCs w:val="24"/>
        </w:rPr>
      </w:pPr>
      <w:r w:rsidRPr="000208A9">
        <w:rPr>
          <w:rFonts w:cs="Arial"/>
          <w:b/>
          <w:szCs w:val="24"/>
        </w:rPr>
        <w:t>1</w:t>
      </w:r>
      <w:r w:rsidR="007555D9">
        <w:rPr>
          <w:rFonts w:cs="Arial"/>
          <w:b/>
          <w:szCs w:val="24"/>
        </w:rPr>
        <w:t>1</w:t>
      </w:r>
      <w:r w:rsidRPr="000208A9">
        <w:rPr>
          <w:rFonts w:cs="Arial"/>
          <w:b/>
          <w:szCs w:val="24"/>
        </w:rPr>
        <w:tab/>
      </w:r>
      <w:r w:rsidR="008C5C63" w:rsidRPr="000208A9">
        <w:rPr>
          <w:rFonts w:cs="Arial"/>
          <w:b/>
          <w:szCs w:val="24"/>
        </w:rPr>
        <w:t>References and Bibliography</w:t>
      </w:r>
    </w:p>
    <w:p w14:paraId="00612AFE" w14:textId="77777777" w:rsidR="00DC6A38" w:rsidRDefault="002233D1" w:rsidP="00CB11CC">
      <w:pPr>
        <w:spacing w:after="240"/>
        <w:rPr>
          <w:rFonts w:eastAsia="Arial Unicode MS" w:cs="Arial"/>
          <w:bCs/>
          <w:szCs w:val="24"/>
          <w:lang w:val="en"/>
        </w:rPr>
      </w:pPr>
      <w:r>
        <w:rPr>
          <w:rFonts w:eastAsia="Arial Unicode MS" w:cs="Arial"/>
          <w:bCs/>
          <w:szCs w:val="24"/>
          <w:lang w:val="en"/>
        </w:rPr>
        <w:t xml:space="preserve">Medical Device </w:t>
      </w:r>
      <w:r w:rsidR="00CE2AB6">
        <w:rPr>
          <w:rFonts w:eastAsia="Arial Unicode MS" w:cs="Arial"/>
          <w:bCs/>
          <w:szCs w:val="24"/>
          <w:lang w:val="en"/>
        </w:rPr>
        <w:t>Directive</w:t>
      </w:r>
      <w:r w:rsidR="00DB52A4">
        <w:rPr>
          <w:rFonts w:eastAsia="Arial Unicode MS" w:cs="Arial"/>
          <w:bCs/>
          <w:szCs w:val="24"/>
          <w:lang w:val="en"/>
        </w:rPr>
        <w:t xml:space="preserve"> </w:t>
      </w:r>
      <w:r w:rsidR="00CE2AB6">
        <w:rPr>
          <w:rFonts w:eastAsia="Arial Unicode MS" w:cs="Arial"/>
          <w:bCs/>
          <w:szCs w:val="24"/>
          <w:lang w:val="en"/>
        </w:rPr>
        <w:t>93/42/EEC</w:t>
      </w:r>
    </w:p>
    <w:p w14:paraId="2ABB0766" w14:textId="77777777" w:rsidR="00DB52A4" w:rsidRDefault="00DB52A4" w:rsidP="00CB11CC">
      <w:pPr>
        <w:spacing w:after="240"/>
        <w:rPr>
          <w:rFonts w:eastAsia="Arial Unicode MS" w:cs="Arial"/>
          <w:bCs/>
          <w:szCs w:val="24"/>
          <w:lang w:val="en"/>
        </w:rPr>
      </w:pPr>
      <w:r>
        <w:rPr>
          <w:rFonts w:eastAsia="Arial Unicode MS" w:cs="Arial"/>
          <w:bCs/>
          <w:szCs w:val="24"/>
          <w:lang w:val="en"/>
        </w:rPr>
        <w:t>Guidelines on Medical Devices: Clinical Evaluation: A Guide for Manufacturers and Notified Bodies Under Directives 93/42/EEC and 90/385/EEC, MEDDEV 2.7/1 revision 4 (June 2016)</w:t>
      </w:r>
    </w:p>
    <w:p w14:paraId="6417A594" w14:textId="77777777" w:rsidR="001514A8" w:rsidRPr="000208A9" w:rsidRDefault="001514A8" w:rsidP="00CB11CC">
      <w:pPr>
        <w:spacing w:after="240"/>
        <w:rPr>
          <w:rFonts w:eastAsia="Arial Unicode MS" w:cs="Arial"/>
          <w:bCs/>
          <w:szCs w:val="24"/>
          <w:lang w:val="en"/>
        </w:rPr>
      </w:pPr>
      <w:r>
        <w:rPr>
          <w:rFonts w:eastAsia="Arial Unicode MS" w:cs="Arial"/>
          <w:bCs/>
          <w:szCs w:val="24"/>
          <w:lang w:val="en"/>
        </w:rPr>
        <w:t>Guidelines on Medical Devices: Clinical Investigations Serious Adverse Event Reporting under Directives 90/385/EEC and 93/42/EEC, MEDDEV 2.7/3 (May 2015)</w:t>
      </w:r>
    </w:p>
    <w:p w14:paraId="7A37F89A" w14:textId="77777777" w:rsidR="008C5C63" w:rsidRPr="007555D9" w:rsidRDefault="008C5C63" w:rsidP="007555D9">
      <w:pPr>
        <w:pStyle w:val="ListParagraph"/>
        <w:numPr>
          <w:ilvl w:val="0"/>
          <w:numId w:val="19"/>
        </w:numPr>
        <w:spacing w:after="240"/>
        <w:ind w:hanging="720"/>
        <w:rPr>
          <w:rFonts w:ascii="Arial" w:hAnsi="Arial" w:cs="Arial"/>
          <w:b/>
          <w:sz w:val="24"/>
          <w:szCs w:val="24"/>
        </w:rPr>
      </w:pPr>
      <w:r w:rsidRPr="007555D9">
        <w:rPr>
          <w:rFonts w:ascii="Arial" w:hAnsi="Arial" w:cs="Arial"/>
          <w:b/>
          <w:sz w:val="24"/>
          <w:szCs w:val="24"/>
        </w:rPr>
        <w:t>Associated Trust Documents</w:t>
      </w:r>
    </w:p>
    <w:p w14:paraId="504923FB" w14:textId="77777777" w:rsidR="006B1974" w:rsidRDefault="00C906A3" w:rsidP="00576B2A">
      <w:pPr>
        <w:jc w:val="both"/>
        <w:rPr>
          <w:rFonts w:cs="Arial"/>
          <w:szCs w:val="24"/>
        </w:rPr>
      </w:pPr>
      <w:r>
        <w:rPr>
          <w:rFonts w:cs="Arial"/>
          <w:szCs w:val="24"/>
        </w:rPr>
        <w:t>R&amp;I SOPs:</w:t>
      </w:r>
    </w:p>
    <w:p w14:paraId="20F62DBA" w14:textId="77777777" w:rsidR="00A960F0" w:rsidRDefault="00490802" w:rsidP="0052083E">
      <w:pPr>
        <w:pStyle w:val="ListParagraph"/>
        <w:numPr>
          <w:ilvl w:val="0"/>
          <w:numId w:val="6"/>
        </w:numPr>
        <w:rPr>
          <w:rFonts w:ascii="Arial" w:hAnsi="Arial" w:cs="Arial"/>
          <w:sz w:val="24"/>
          <w:szCs w:val="24"/>
        </w:rPr>
      </w:pPr>
      <w:r w:rsidRPr="00490802">
        <w:rPr>
          <w:rFonts w:ascii="Arial" w:hAnsi="Arial" w:cs="Arial"/>
          <w:sz w:val="24"/>
          <w:szCs w:val="24"/>
        </w:rPr>
        <w:t xml:space="preserve">Protocol and GCP </w:t>
      </w:r>
      <w:r w:rsidR="007555D9">
        <w:rPr>
          <w:rFonts w:ascii="Arial" w:hAnsi="Arial" w:cs="Arial"/>
          <w:sz w:val="24"/>
          <w:szCs w:val="24"/>
        </w:rPr>
        <w:t>D</w:t>
      </w:r>
      <w:r w:rsidRPr="00490802">
        <w:rPr>
          <w:rFonts w:ascii="Arial" w:hAnsi="Arial" w:cs="Arial"/>
          <w:sz w:val="24"/>
          <w:szCs w:val="24"/>
        </w:rPr>
        <w:t>eviations/</w:t>
      </w:r>
      <w:r w:rsidR="007555D9">
        <w:rPr>
          <w:rFonts w:ascii="Arial" w:hAnsi="Arial" w:cs="Arial"/>
          <w:sz w:val="24"/>
          <w:szCs w:val="24"/>
        </w:rPr>
        <w:t>V</w:t>
      </w:r>
      <w:r w:rsidRPr="00490802">
        <w:rPr>
          <w:rFonts w:ascii="Arial" w:hAnsi="Arial" w:cs="Arial"/>
          <w:sz w:val="24"/>
          <w:szCs w:val="24"/>
        </w:rPr>
        <w:t>iolation and Serious Breaches  in Clinical Trials of Investigational Medicinal Products</w:t>
      </w:r>
      <w:r w:rsidR="001A0DB3">
        <w:rPr>
          <w:rFonts w:ascii="Arial" w:hAnsi="Arial" w:cs="Arial"/>
          <w:sz w:val="24"/>
          <w:szCs w:val="24"/>
        </w:rPr>
        <w:t xml:space="preserve"> and Clinical Investigations of Medical Devices</w:t>
      </w:r>
    </w:p>
    <w:p w14:paraId="1F44EE5F" w14:textId="77777777" w:rsidR="008C3BAE" w:rsidRDefault="008C3BAE" w:rsidP="0052083E">
      <w:pPr>
        <w:pStyle w:val="ListParagraph"/>
        <w:numPr>
          <w:ilvl w:val="0"/>
          <w:numId w:val="6"/>
        </w:numPr>
        <w:rPr>
          <w:rFonts w:ascii="Arial" w:hAnsi="Arial" w:cs="Arial"/>
          <w:sz w:val="24"/>
          <w:szCs w:val="24"/>
        </w:rPr>
      </w:pPr>
      <w:r>
        <w:rPr>
          <w:rFonts w:ascii="Arial" w:hAnsi="Arial" w:cs="Arial"/>
          <w:sz w:val="24"/>
          <w:szCs w:val="24"/>
        </w:rPr>
        <w:t>Trust Sponsorship of CTIMPs and Clinical Investigations of Medical Devices</w:t>
      </w:r>
      <w:r w:rsidR="00C837C5">
        <w:rPr>
          <w:rFonts w:ascii="Arial" w:hAnsi="Arial" w:cs="Arial"/>
          <w:sz w:val="24"/>
          <w:szCs w:val="24"/>
        </w:rPr>
        <w:t xml:space="preserve"> (MHRA Regulated)</w:t>
      </w:r>
    </w:p>
    <w:p w14:paraId="32797606" w14:textId="77777777" w:rsidR="001A0DB3" w:rsidRDefault="001A0DB3" w:rsidP="0052083E">
      <w:pPr>
        <w:pStyle w:val="ListParagraph"/>
        <w:numPr>
          <w:ilvl w:val="0"/>
          <w:numId w:val="6"/>
        </w:numPr>
        <w:rPr>
          <w:rFonts w:ascii="Arial" w:hAnsi="Arial" w:cs="Arial"/>
          <w:sz w:val="24"/>
          <w:szCs w:val="24"/>
        </w:rPr>
      </w:pPr>
      <w:r>
        <w:rPr>
          <w:rFonts w:ascii="Arial" w:hAnsi="Arial" w:cs="Arial"/>
          <w:sz w:val="24"/>
          <w:szCs w:val="24"/>
        </w:rPr>
        <w:lastRenderedPageBreak/>
        <w:t xml:space="preserve">Delegating Responsibilities </w:t>
      </w:r>
      <w:r w:rsidR="006C70DC">
        <w:rPr>
          <w:rFonts w:ascii="Arial" w:hAnsi="Arial" w:cs="Arial"/>
          <w:sz w:val="24"/>
          <w:szCs w:val="24"/>
        </w:rPr>
        <w:t>for Clinical Trials of Investigational Medicinal Products</w:t>
      </w:r>
      <w:r>
        <w:rPr>
          <w:rFonts w:ascii="Arial" w:hAnsi="Arial" w:cs="Arial"/>
          <w:sz w:val="24"/>
          <w:szCs w:val="24"/>
        </w:rPr>
        <w:t xml:space="preserve"> and Clinical Investigations of Medical Devices</w:t>
      </w:r>
      <w:r w:rsidR="00C837C5">
        <w:rPr>
          <w:rFonts w:ascii="Arial" w:hAnsi="Arial" w:cs="Arial"/>
          <w:sz w:val="24"/>
          <w:szCs w:val="24"/>
        </w:rPr>
        <w:t xml:space="preserve"> (MHRA Regulated)</w:t>
      </w:r>
      <w:r w:rsidR="006C70DC">
        <w:rPr>
          <w:rFonts w:ascii="Arial" w:hAnsi="Arial" w:cs="Arial"/>
          <w:sz w:val="24"/>
          <w:szCs w:val="24"/>
        </w:rPr>
        <w:t xml:space="preserve"> Sponsored by the Trust</w:t>
      </w:r>
    </w:p>
    <w:p w14:paraId="78B190E7" w14:textId="77777777" w:rsidR="008C3BAE" w:rsidRPr="009B1142" w:rsidRDefault="001A0DB3" w:rsidP="0052083E">
      <w:pPr>
        <w:pStyle w:val="ListParagraph"/>
        <w:numPr>
          <w:ilvl w:val="0"/>
          <w:numId w:val="6"/>
        </w:numPr>
        <w:rPr>
          <w:rFonts w:ascii="Arial" w:hAnsi="Arial" w:cs="Arial"/>
          <w:sz w:val="28"/>
          <w:szCs w:val="24"/>
        </w:rPr>
      </w:pPr>
      <w:r w:rsidRPr="001A0DB3">
        <w:rPr>
          <w:rFonts w:ascii="Arial" w:eastAsia="Arial Unicode MS" w:hAnsi="Arial" w:cs="Arial"/>
          <w:sz w:val="24"/>
          <w:szCs w:val="24"/>
        </w:rPr>
        <w:t>Safety Reporting for Studies Other than CTIMPs</w:t>
      </w:r>
    </w:p>
    <w:p w14:paraId="4F10EE1F" w14:textId="77777777" w:rsidR="009B1142" w:rsidRDefault="009B1142" w:rsidP="009B1142">
      <w:pPr>
        <w:jc w:val="both"/>
        <w:rPr>
          <w:rFonts w:cs="Arial"/>
          <w:szCs w:val="24"/>
        </w:rPr>
      </w:pPr>
    </w:p>
    <w:p w14:paraId="578BED02" w14:textId="77777777" w:rsidR="009B1142" w:rsidRDefault="009B1142" w:rsidP="009B1142">
      <w:pPr>
        <w:jc w:val="both"/>
        <w:rPr>
          <w:rFonts w:cs="Arial"/>
          <w:szCs w:val="24"/>
        </w:rPr>
      </w:pPr>
      <w:r>
        <w:rPr>
          <w:rFonts w:cs="Arial"/>
          <w:szCs w:val="24"/>
        </w:rPr>
        <w:t>Templates:</w:t>
      </w:r>
    </w:p>
    <w:p w14:paraId="2E104616" w14:textId="77777777" w:rsidR="009B1142" w:rsidRPr="00A06C19" w:rsidRDefault="009B1142" w:rsidP="009B1142">
      <w:pPr>
        <w:pStyle w:val="ListParagraph"/>
        <w:numPr>
          <w:ilvl w:val="0"/>
          <w:numId w:val="13"/>
        </w:numPr>
        <w:jc w:val="both"/>
        <w:rPr>
          <w:rFonts w:cs="Arial"/>
          <w:szCs w:val="24"/>
        </w:rPr>
      </w:pPr>
      <w:r>
        <w:rPr>
          <w:rFonts w:ascii="Arial" w:hAnsi="Arial" w:cs="Arial"/>
          <w:sz w:val="24"/>
          <w:szCs w:val="24"/>
        </w:rPr>
        <w:t>SAE Form</w:t>
      </w:r>
      <w:r w:rsidR="00900B7C">
        <w:rPr>
          <w:rFonts w:ascii="Arial" w:hAnsi="Arial" w:cs="Arial"/>
          <w:sz w:val="24"/>
          <w:szCs w:val="24"/>
        </w:rPr>
        <w:t xml:space="preserve"> (Clinical Investigation of a Medical Device)</w:t>
      </w:r>
    </w:p>
    <w:p w14:paraId="415D8419" w14:textId="77777777" w:rsidR="00A06C19" w:rsidRPr="00900B7C" w:rsidRDefault="00A06C19" w:rsidP="009B1142">
      <w:pPr>
        <w:pStyle w:val="ListParagraph"/>
        <w:numPr>
          <w:ilvl w:val="0"/>
          <w:numId w:val="13"/>
        </w:numPr>
        <w:jc w:val="both"/>
        <w:rPr>
          <w:rFonts w:cs="Arial"/>
          <w:szCs w:val="24"/>
        </w:rPr>
      </w:pPr>
      <w:r w:rsidRPr="00900B7C">
        <w:rPr>
          <w:rFonts w:ascii="Arial" w:hAnsi="Arial" w:cs="Arial"/>
          <w:sz w:val="24"/>
          <w:szCs w:val="24"/>
        </w:rPr>
        <w:t>Device Deficiency Form</w:t>
      </w:r>
    </w:p>
    <w:p w14:paraId="3BA17F36" w14:textId="77777777" w:rsidR="00A06C19" w:rsidRPr="00900B7C" w:rsidRDefault="00A06C19" w:rsidP="009B1142">
      <w:pPr>
        <w:pStyle w:val="ListParagraph"/>
        <w:numPr>
          <w:ilvl w:val="0"/>
          <w:numId w:val="13"/>
        </w:numPr>
        <w:jc w:val="both"/>
        <w:rPr>
          <w:rFonts w:cs="Arial"/>
          <w:szCs w:val="24"/>
        </w:rPr>
      </w:pPr>
      <w:r w:rsidRPr="00900B7C">
        <w:rPr>
          <w:rFonts w:ascii="Arial" w:hAnsi="Arial" w:cs="Arial"/>
          <w:sz w:val="24"/>
          <w:szCs w:val="24"/>
        </w:rPr>
        <w:t>AE Form</w:t>
      </w:r>
      <w:r w:rsidR="00900B7C">
        <w:rPr>
          <w:rFonts w:ascii="Arial" w:hAnsi="Arial" w:cs="Arial"/>
          <w:sz w:val="24"/>
          <w:szCs w:val="24"/>
        </w:rPr>
        <w:t xml:space="preserve"> (Clinical Investigation of a Medical Device)</w:t>
      </w:r>
    </w:p>
    <w:p w14:paraId="3D9A0313" w14:textId="77777777" w:rsidR="00A06C19" w:rsidRPr="003657A0" w:rsidRDefault="00900B7C" w:rsidP="009B1142">
      <w:pPr>
        <w:pStyle w:val="ListParagraph"/>
        <w:numPr>
          <w:ilvl w:val="0"/>
          <w:numId w:val="13"/>
        </w:numPr>
        <w:jc w:val="both"/>
        <w:rPr>
          <w:rFonts w:cs="Arial"/>
          <w:szCs w:val="24"/>
        </w:rPr>
      </w:pPr>
      <w:r>
        <w:rPr>
          <w:rFonts w:ascii="Arial" w:hAnsi="Arial" w:cs="Arial"/>
          <w:sz w:val="24"/>
          <w:szCs w:val="24"/>
        </w:rPr>
        <w:t>AE Log (Clinical Investigation of a Medical Device)</w:t>
      </w:r>
    </w:p>
    <w:p w14:paraId="5874BC2E" w14:textId="77777777" w:rsidR="00CA6289" w:rsidRPr="00900B7C" w:rsidRDefault="00CA6289" w:rsidP="009B1142">
      <w:pPr>
        <w:pStyle w:val="ListParagraph"/>
        <w:numPr>
          <w:ilvl w:val="0"/>
          <w:numId w:val="13"/>
        </w:numPr>
        <w:jc w:val="both"/>
        <w:rPr>
          <w:rFonts w:cs="Arial"/>
          <w:szCs w:val="24"/>
        </w:rPr>
      </w:pPr>
      <w:r>
        <w:rPr>
          <w:rFonts w:ascii="Arial" w:hAnsi="Arial" w:cs="Arial"/>
          <w:sz w:val="24"/>
          <w:szCs w:val="24"/>
        </w:rPr>
        <w:t>Clinical Trial Pregnancy Form</w:t>
      </w:r>
    </w:p>
    <w:sectPr w:rsidR="00CA6289" w:rsidRPr="00900B7C" w:rsidSect="00AD1E16">
      <w:headerReference w:type="default" r:id="rId12"/>
      <w:footerReference w:type="default" r:id="rId13"/>
      <w:type w:val="continuous"/>
      <w:pgSz w:w="11906" w:h="16838"/>
      <w:pgMar w:top="1578" w:right="992" w:bottom="1276" w:left="1797" w:header="426"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7B83" w14:textId="77777777" w:rsidR="00B749D2" w:rsidRDefault="00B749D2">
      <w:r>
        <w:separator/>
      </w:r>
    </w:p>
  </w:endnote>
  <w:endnote w:type="continuationSeparator" w:id="0">
    <w:p w14:paraId="638B75A7" w14:textId="77777777" w:rsidR="00B749D2" w:rsidRDefault="00B7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gridCol w:w="2399"/>
    </w:tblGrid>
    <w:tr w:rsidR="00B749D2" w14:paraId="5A061BBD" w14:textId="77777777" w:rsidTr="00A46387">
      <w:trPr>
        <w:trHeight w:val="416"/>
        <w:jc w:val="center"/>
      </w:trPr>
      <w:tc>
        <w:tcPr>
          <w:tcW w:w="6522" w:type="dxa"/>
          <w:vAlign w:val="center"/>
        </w:tcPr>
        <w:p w14:paraId="5C74EE17" w14:textId="77777777" w:rsidR="00B749D2" w:rsidRDefault="00B749D2" w:rsidP="00C51F2C">
          <w:pPr>
            <w:tabs>
              <w:tab w:val="left" w:pos="1785"/>
            </w:tabs>
            <w:jc w:val="center"/>
            <w:rPr>
              <w:i/>
              <w:iCs/>
              <w:sz w:val="20"/>
            </w:rPr>
          </w:pPr>
          <w:r>
            <w:rPr>
              <w:i/>
              <w:iCs/>
              <w:sz w:val="20"/>
            </w:rPr>
            <w:t>RI SOP 08D:</w:t>
          </w:r>
          <w:r>
            <w:rPr>
              <w:rFonts w:eastAsia="Arial Unicode MS" w:cs="Arial"/>
            </w:rPr>
            <w:t xml:space="preserve"> </w:t>
          </w:r>
          <w:r>
            <w:rPr>
              <w:i/>
              <w:iCs/>
              <w:sz w:val="20"/>
            </w:rPr>
            <w:t>Safety Reporting in Clinical Investigations of Medical Devices (MHRA Regulated Device Trials)</w:t>
          </w:r>
        </w:p>
      </w:tc>
      <w:tc>
        <w:tcPr>
          <w:tcW w:w="2399" w:type="dxa"/>
          <w:vAlign w:val="center"/>
        </w:tcPr>
        <w:p w14:paraId="0CDECA5D" w14:textId="77777777" w:rsidR="00B749D2" w:rsidRDefault="00B749D2" w:rsidP="00CB11CC">
          <w:pPr>
            <w:jc w:val="center"/>
            <w:rPr>
              <w:i/>
              <w:iCs/>
              <w:sz w:val="20"/>
            </w:rPr>
          </w:pPr>
          <w:r>
            <w:rPr>
              <w:i/>
              <w:iCs/>
              <w:sz w:val="20"/>
            </w:rPr>
            <w:t xml:space="preserve">Page </w:t>
          </w:r>
          <w:r>
            <w:rPr>
              <w:i/>
              <w:iCs/>
              <w:sz w:val="20"/>
            </w:rPr>
            <w:fldChar w:fldCharType="begin"/>
          </w:r>
          <w:r>
            <w:rPr>
              <w:i/>
              <w:iCs/>
              <w:sz w:val="20"/>
            </w:rPr>
            <w:instrText xml:space="preserve"> PAGE </w:instrText>
          </w:r>
          <w:r>
            <w:rPr>
              <w:i/>
              <w:iCs/>
              <w:sz w:val="20"/>
            </w:rPr>
            <w:fldChar w:fldCharType="separate"/>
          </w:r>
          <w:r w:rsidR="00C42CC7">
            <w:rPr>
              <w:i/>
              <w:iCs/>
              <w:noProof/>
              <w:sz w:val="20"/>
            </w:rPr>
            <w:t>1</w:t>
          </w:r>
          <w:r>
            <w:rPr>
              <w:i/>
              <w:iCs/>
              <w:sz w:val="20"/>
            </w:rPr>
            <w:fldChar w:fldCharType="end"/>
          </w:r>
          <w:r>
            <w:rPr>
              <w:i/>
              <w:iCs/>
              <w:sz w:val="20"/>
            </w:rPr>
            <w:t xml:space="preserve"> of </w:t>
          </w:r>
          <w:r>
            <w:rPr>
              <w:i/>
              <w:iCs/>
              <w:sz w:val="20"/>
            </w:rPr>
            <w:fldChar w:fldCharType="begin"/>
          </w:r>
          <w:r>
            <w:rPr>
              <w:i/>
              <w:iCs/>
              <w:sz w:val="20"/>
            </w:rPr>
            <w:instrText xml:space="preserve"> NUMPAGES </w:instrText>
          </w:r>
          <w:r>
            <w:rPr>
              <w:i/>
              <w:iCs/>
              <w:sz w:val="20"/>
            </w:rPr>
            <w:fldChar w:fldCharType="separate"/>
          </w:r>
          <w:r w:rsidR="00C42CC7">
            <w:rPr>
              <w:i/>
              <w:iCs/>
              <w:noProof/>
              <w:sz w:val="20"/>
            </w:rPr>
            <w:t>17</w:t>
          </w:r>
          <w:r>
            <w:rPr>
              <w:i/>
              <w:iCs/>
              <w:sz w:val="20"/>
            </w:rPr>
            <w:fldChar w:fldCharType="end"/>
          </w:r>
        </w:p>
      </w:tc>
    </w:tr>
    <w:tr w:rsidR="00B749D2" w14:paraId="240EAABE" w14:textId="77777777" w:rsidTr="000208A9">
      <w:trPr>
        <w:jc w:val="center"/>
      </w:trPr>
      <w:tc>
        <w:tcPr>
          <w:tcW w:w="6522" w:type="dxa"/>
        </w:tcPr>
        <w:p w14:paraId="37630637" w14:textId="77777777" w:rsidR="00B749D2" w:rsidRDefault="00B749D2">
          <w:pPr>
            <w:jc w:val="center"/>
            <w:rPr>
              <w:i/>
              <w:iCs/>
              <w:sz w:val="20"/>
            </w:rPr>
          </w:pPr>
          <w:r>
            <w:rPr>
              <w:i/>
              <w:iCs/>
              <w:sz w:val="20"/>
            </w:rPr>
            <w:t xml:space="preserve"> See the Intranet for the latest version.</w:t>
          </w:r>
        </w:p>
      </w:tc>
      <w:tc>
        <w:tcPr>
          <w:tcW w:w="2399" w:type="dxa"/>
          <w:vAlign w:val="center"/>
        </w:tcPr>
        <w:p w14:paraId="6CF23CAD" w14:textId="77777777" w:rsidR="00B749D2" w:rsidRDefault="00B749D2" w:rsidP="002233D1">
          <w:pPr>
            <w:jc w:val="center"/>
            <w:rPr>
              <w:i/>
              <w:iCs/>
              <w:sz w:val="20"/>
            </w:rPr>
          </w:pPr>
          <w:r>
            <w:rPr>
              <w:i/>
              <w:iCs/>
              <w:sz w:val="20"/>
            </w:rPr>
            <w:t>Version Number: 1.1</w:t>
          </w:r>
        </w:p>
      </w:tc>
    </w:tr>
  </w:tbl>
  <w:p w14:paraId="61B8F218" w14:textId="77777777" w:rsidR="00B749D2" w:rsidRPr="000208A9" w:rsidRDefault="00B749D2" w:rsidP="00A46387">
    <w:pPr>
      <w:pStyle w:val="Footer"/>
      <w:tabs>
        <w:tab w:val="clear" w:pos="8306"/>
      </w:tabs>
      <w:ind w:left="-142" w:right="45"/>
      <w:jc w:val="center"/>
      <w:rPr>
        <w:rFonts w:ascii="Arial" w:hAnsi="Arial" w:cs="Arial"/>
        <w:b/>
        <w:sz w:val="21"/>
        <w:szCs w:val="21"/>
      </w:rPr>
    </w:pPr>
    <w:r w:rsidRPr="00643293">
      <w:rPr>
        <w:rFonts w:ascii="Arial" w:hAnsi="Arial" w:cs="Arial"/>
        <w:b/>
        <w:sz w:val="21"/>
        <w:szCs w:val="21"/>
      </w:rPr>
      <w:t>It is your responsibility to check that you are using the most recent issue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2F08" w14:textId="77777777" w:rsidR="00B749D2" w:rsidRDefault="00B749D2">
      <w:r>
        <w:separator/>
      </w:r>
    </w:p>
  </w:footnote>
  <w:footnote w:type="continuationSeparator" w:id="0">
    <w:p w14:paraId="652F3FD7" w14:textId="77777777" w:rsidR="00B749D2" w:rsidRDefault="00B7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E424" w14:textId="77777777" w:rsidR="00B749D2" w:rsidRPr="005F2FC8" w:rsidRDefault="00B749D2" w:rsidP="00266306">
    <w:pPr>
      <w:pStyle w:val="Header"/>
      <w:jc w:val="right"/>
    </w:pPr>
    <w:r>
      <w:rPr>
        <w:noProof/>
        <w:spacing w:val="-3"/>
        <w:sz w:val="23"/>
        <w:lang w:eastAsia="en-GB"/>
      </w:rPr>
      <w:drawing>
        <wp:inline distT="0" distB="0" distL="0" distR="0" wp14:anchorId="6AECEDD5" wp14:editId="1E6CE6E9">
          <wp:extent cx="2185670" cy="601980"/>
          <wp:effectExtent l="0" t="0" r="0" b="0"/>
          <wp:docPr id="1" name="Picture 1" descr="M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7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D0A"/>
    <w:multiLevelType w:val="multilevel"/>
    <w:tmpl w:val="D310CB3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1855"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DA60FA"/>
    <w:multiLevelType w:val="hybridMultilevel"/>
    <w:tmpl w:val="5AFA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2081"/>
    <w:multiLevelType w:val="multilevel"/>
    <w:tmpl w:val="B0787A34"/>
    <w:lvl w:ilvl="0">
      <w:start w:val="4"/>
      <w:numFmt w:val="decimal"/>
      <w:pStyle w:val="Heading9"/>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 w15:restartNumberingAfterBreak="0">
    <w:nsid w:val="178A3EA1"/>
    <w:multiLevelType w:val="multilevel"/>
    <w:tmpl w:val="F51A9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A34EA"/>
    <w:multiLevelType w:val="hybridMultilevel"/>
    <w:tmpl w:val="44BA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5350"/>
    <w:multiLevelType w:val="hybridMultilevel"/>
    <w:tmpl w:val="69123F1C"/>
    <w:lvl w:ilvl="0" w:tplc="EB408C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1D461D"/>
    <w:multiLevelType w:val="multilevel"/>
    <w:tmpl w:val="8826C338"/>
    <w:lvl w:ilvl="0">
      <w:start w:val="5"/>
      <w:numFmt w:val="decimal"/>
      <w:lvlText w:val="%1"/>
      <w:lvlJc w:val="left"/>
      <w:pPr>
        <w:ind w:left="525" w:hanging="525"/>
      </w:pPr>
      <w:rPr>
        <w:rFonts w:eastAsia="Arial Unicode MS" w:hint="default"/>
        <w:color w:val="000000"/>
      </w:rPr>
    </w:lvl>
    <w:lvl w:ilvl="1">
      <w:start w:val="2"/>
      <w:numFmt w:val="decimal"/>
      <w:lvlText w:val="%1.%2"/>
      <w:lvlJc w:val="left"/>
      <w:pPr>
        <w:ind w:left="738" w:hanging="525"/>
      </w:pPr>
      <w:rPr>
        <w:rFonts w:eastAsia="Arial Unicode MS" w:hint="default"/>
        <w:color w:val="000000"/>
      </w:rPr>
    </w:lvl>
    <w:lvl w:ilvl="2">
      <w:start w:val="3"/>
      <w:numFmt w:val="decimal"/>
      <w:lvlText w:val="%1.%2.%3"/>
      <w:lvlJc w:val="left"/>
      <w:pPr>
        <w:ind w:left="1855" w:hanging="720"/>
      </w:pPr>
      <w:rPr>
        <w:rFonts w:eastAsia="Arial Unicode MS" w:hint="default"/>
        <w:b/>
        <w:color w:val="000000"/>
      </w:rPr>
    </w:lvl>
    <w:lvl w:ilvl="3">
      <w:start w:val="1"/>
      <w:numFmt w:val="decimal"/>
      <w:lvlText w:val="%1.%2.%3.%4"/>
      <w:lvlJc w:val="left"/>
      <w:pPr>
        <w:ind w:left="1719" w:hanging="1080"/>
      </w:pPr>
      <w:rPr>
        <w:rFonts w:eastAsia="Arial Unicode MS" w:hint="default"/>
        <w:color w:val="000000"/>
      </w:rPr>
    </w:lvl>
    <w:lvl w:ilvl="4">
      <w:start w:val="1"/>
      <w:numFmt w:val="decimal"/>
      <w:lvlText w:val="%1.%2.%3.%4.%5"/>
      <w:lvlJc w:val="left"/>
      <w:pPr>
        <w:ind w:left="1932" w:hanging="1080"/>
      </w:pPr>
      <w:rPr>
        <w:rFonts w:eastAsia="Arial Unicode MS" w:hint="default"/>
        <w:color w:val="000000"/>
      </w:rPr>
    </w:lvl>
    <w:lvl w:ilvl="5">
      <w:start w:val="1"/>
      <w:numFmt w:val="decimal"/>
      <w:lvlText w:val="%1.%2.%3.%4.%5.%6"/>
      <w:lvlJc w:val="left"/>
      <w:pPr>
        <w:ind w:left="2505" w:hanging="1440"/>
      </w:pPr>
      <w:rPr>
        <w:rFonts w:eastAsia="Arial Unicode MS" w:hint="default"/>
        <w:color w:val="000000"/>
      </w:rPr>
    </w:lvl>
    <w:lvl w:ilvl="6">
      <w:start w:val="1"/>
      <w:numFmt w:val="decimal"/>
      <w:lvlText w:val="%1.%2.%3.%4.%5.%6.%7"/>
      <w:lvlJc w:val="left"/>
      <w:pPr>
        <w:ind w:left="2718" w:hanging="1440"/>
      </w:pPr>
      <w:rPr>
        <w:rFonts w:eastAsia="Arial Unicode MS" w:hint="default"/>
        <w:color w:val="000000"/>
      </w:rPr>
    </w:lvl>
    <w:lvl w:ilvl="7">
      <w:start w:val="1"/>
      <w:numFmt w:val="decimal"/>
      <w:lvlText w:val="%1.%2.%3.%4.%5.%6.%7.%8"/>
      <w:lvlJc w:val="left"/>
      <w:pPr>
        <w:ind w:left="3291" w:hanging="1800"/>
      </w:pPr>
      <w:rPr>
        <w:rFonts w:eastAsia="Arial Unicode MS" w:hint="default"/>
        <w:color w:val="000000"/>
      </w:rPr>
    </w:lvl>
    <w:lvl w:ilvl="8">
      <w:start w:val="1"/>
      <w:numFmt w:val="decimal"/>
      <w:lvlText w:val="%1.%2.%3.%4.%5.%6.%7.%8.%9"/>
      <w:lvlJc w:val="left"/>
      <w:pPr>
        <w:ind w:left="3504" w:hanging="1800"/>
      </w:pPr>
      <w:rPr>
        <w:rFonts w:eastAsia="Arial Unicode MS" w:hint="default"/>
        <w:color w:val="000000"/>
      </w:rPr>
    </w:lvl>
  </w:abstractNum>
  <w:abstractNum w:abstractNumId="7" w15:restartNumberingAfterBreak="0">
    <w:nsid w:val="220266FF"/>
    <w:multiLevelType w:val="hybridMultilevel"/>
    <w:tmpl w:val="32A2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02797"/>
    <w:multiLevelType w:val="hybridMultilevel"/>
    <w:tmpl w:val="F7E4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B4DF1"/>
    <w:multiLevelType w:val="hybridMultilevel"/>
    <w:tmpl w:val="F1308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772B26"/>
    <w:multiLevelType w:val="hybridMultilevel"/>
    <w:tmpl w:val="0D08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F5489"/>
    <w:multiLevelType w:val="hybridMultilevel"/>
    <w:tmpl w:val="944EEE9E"/>
    <w:lvl w:ilvl="0" w:tplc="5F96660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8353C"/>
    <w:multiLevelType w:val="hybridMultilevel"/>
    <w:tmpl w:val="1D8859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93B46"/>
    <w:multiLevelType w:val="hybridMultilevel"/>
    <w:tmpl w:val="682E42F0"/>
    <w:lvl w:ilvl="0" w:tplc="6FD852A8">
      <w:numFmt w:val="bullet"/>
      <w:lvlText w:val="-"/>
      <w:lvlJc w:val="left"/>
      <w:pPr>
        <w:ind w:left="1571"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1C83E9E"/>
    <w:multiLevelType w:val="hybridMultilevel"/>
    <w:tmpl w:val="49DCF87C"/>
    <w:lvl w:ilvl="0" w:tplc="F6EEB0F6">
      <w:start w:val="1"/>
      <w:numFmt w:val="bullet"/>
      <w:lvlText w:val="-"/>
      <w:lvlJc w:val="left"/>
      <w:pPr>
        <w:ind w:left="1146" w:hanging="360"/>
      </w:pPr>
      <w:rPr>
        <w:rFonts w:ascii="Arial" w:eastAsia="Calibr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37455B7"/>
    <w:multiLevelType w:val="hybridMultilevel"/>
    <w:tmpl w:val="C06443FC"/>
    <w:lvl w:ilvl="0" w:tplc="CBBC79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3AD4D47"/>
    <w:multiLevelType w:val="hybridMultilevel"/>
    <w:tmpl w:val="836E9894"/>
    <w:lvl w:ilvl="0" w:tplc="FAB20AB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584123"/>
    <w:multiLevelType w:val="multilevel"/>
    <w:tmpl w:val="147AE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C0367"/>
    <w:multiLevelType w:val="hybridMultilevel"/>
    <w:tmpl w:val="CAB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C50CB"/>
    <w:multiLevelType w:val="multilevel"/>
    <w:tmpl w:val="2926FEDE"/>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D0848"/>
    <w:multiLevelType w:val="hybridMultilevel"/>
    <w:tmpl w:val="3D2651D0"/>
    <w:lvl w:ilvl="0" w:tplc="EAD0D97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62B6D"/>
    <w:multiLevelType w:val="multilevel"/>
    <w:tmpl w:val="8826C338"/>
    <w:lvl w:ilvl="0">
      <w:start w:val="5"/>
      <w:numFmt w:val="decimal"/>
      <w:lvlText w:val="%1"/>
      <w:lvlJc w:val="left"/>
      <w:pPr>
        <w:ind w:left="525" w:hanging="525"/>
      </w:pPr>
      <w:rPr>
        <w:rFonts w:eastAsia="Arial Unicode MS" w:hint="default"/>
        <w:color w:val="000000"/>
      </w:rPr>
    </w:lvl>
    <w:lvl w:ilvl="1">
      <w:start w:val="2"/>
      <w:numFmt w:val="decimal"/>
      <w:lvlText w:val="%1.%2"/>
      <w:lvlJc w:val="left"/>
      <w:pPr>
        <w:ind w:left="738" w:hanging="525"/>
      </w:pPr>
      <w:rPr>
        <w:rFonts w:eastAsia="Arial Unicode MS" w:hint="default"/>
        <w:color w:val="000000"/>
      </w:rPr>
    </w:lvl>
    <w:lvl w:ilvl="2">
      <w:start w:val="3"/>
      <w:numFmt w:val="decimal"/>
      <w:lvlText w:val="%1.%2.%3"/>
      <w:lvlJc w:val="left"/>
      <w:pPr>
        <w:ind w:left="1855" w:hanging="720"/>
      </w:pPr>
      <w:rPr>
        <w:rFonts w:eastAsia="Arial Unicode MS" w:hint="default"/>
        <w:b/>
        <w:color w:val="000000"/>
      </w:rPr>
    </w:lvl>
    <w:lvl w:ilvl="3">
      <w:start w:val="1"/>
      <w:numFmt w:val="decimal"/>
      <w:lvlText w:val="%1.%2.%3.%4"/>
      <w:lvlJc w:val="left"/>
      <w:pPr>
        <w:ind w:left="1719" w:hanging="1080"/>
      </w:pPr>
      <w:rPr>
        <w:rFonts w:eastAsia="Arial Unicode MS" w:hint="default"/>
        <w:color w:val="000000"/>
      </w:rPr>
    </w:lvl>
    <w:lvl w:ilvl="4">
      <w:start w:val="1"/>
      <w:numFmt w:val="decimal"/>
      <w:lvlText w:val="%1.%2.%3.%4.%5"/>
      <w:lvlJc w:val="left"/>
      <w:pPr>
        <w:ind w:left="1932" w:hanging="1080"/>
      </w:pPr>
      <w:rPr>
        <w:rFonts w:eastAsia="Arial Unicode MS" w:hint="default"/>
        <w:color w:val="000000"/>
      </w:rPr>
    </w:lvl>
    <w:lvl w:ilvl="5">
      <w:start w:val="1"/>
      <w:numFmt w:val="decimal"/>
      <w:lvlText w:val="%1.%2.%3.%4.%5.%6"/>
      <w:lvlJc w:val="left"/>
      <w:pPr>
        <w:ind w:left="2505" w:hanging="1440"/>
      </w:pPr>
      <w:rPr>
        <w:rFonts w:eastAsia="Arial Unicode MS" w:hint="default"/>
        <w:color w:val="000000"/>
      </w:rPr>
    </w:lvl>
    <w:lvl w:ilvl="6">
      <w:start w:val="1"/>
      <w:numFmt w:val="decimal"/>
      <w:lvlText w:val="%1.%2.%3.%4.%5.%6.%7"/>
      <w:lvlJc w:val="left"/>
      <w:pPr>
        <w:ind w:left="2718" w:hanging="1440"/>
      </w:pPr>
      <w:rPr>
        <w:rFonts w:eastAsia="Arial Unicode MS" w:hint="default"/>
        <w:color w:val="000000"/>
      </w:rPr>
    </w:lvl>
    <w:lvl w:ilvl="7">
      <w:start w:val="1"/>
      <w:numFmt w:val="decimal"/>
      <w:lvlText w:val="%1.%2.%3.%4.%5.%6.%7.%8"/>
      <w:lvlJc w:val="left"/>
      <w:pPr>
        <w:ind w:left="3291" w:hanging="1800"/>
      </w:pPr>
      <w:rPr>
        <w:rFonts w:eastAsia="Arial Unicode MS" w:hint="default"/>
        <w:color w:val="000000"/>
      </w:rPr>
    </w:lvl>
    <w:lvl w:ilvl="8">
      <w:start w:val="1"/>
      <w:numFmt w:val="decimal"/>
      <w:lvlText w:val="%1.%2.%3.%4.%5.%6.%7.%8.%9"/>
      <w:lvlJc w:val="left"/>
      <w:pPr>
        <w:ind w:left="3504" w:hanging="1800"/>
      </w:pPr>
      <w:rPr>
        <w:rFonts w:eastAsia="Arial Unicode MS" w:hint="default"/>
        <w:color w:val="000000"/>
      </w:rPr>
    </w:lvl>
  </w:abstractNum>
  <w:abstractNum w:abstractNumId="23" w15:restartNumberingAfterBreak="0">
    <w:nsid w:val="79586B88"/>
    <w:multiLevelType w:val="hybridMultilevel"/>
    <w:tmpl w:val="1D46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20092"/>
    <w:multiLevelType w:val="hybridMultilevel"/>
    <w:tmpl w:val="155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87429"/>
    <w:multiLevelType w:val="hybridMultilevel"/>
    <w:tmpl w:val="43FC8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2"/>
  </w:num>
  <w:num w:numId="3">
    <w:abstractNumId w:val="17"/>
  </w:num>
  <w:num w:numId="4">
    <w:abstractNumId w:val="3"/>
  </w:num>
  <w:num w:numId="5">
    <w:abstractNumId w:val="11"/>
  </w:num>
  <w:num w:numId="6">
    <w:abstractNumId w:val="21"/>
  </w:num>
  <w:num w:numId="7">
    <w:abstractNumId w:val="9"/>
  </w:num>
  <w:num w:numId="8">
    <w:abstractNumId w:val="7"/>
  </w:num>
  <w:num w:numId="9">
    <w:abstractNumId w:val="4"/>
  </w:num>
  <w:num w:numId="10">
    <w:abstractNumId w:val="1"/>
  </w:num>
  <w:num w:numId="11">
    <w:abstractNumId w:val="22"/>
  </w:num>
  <w:num w:numId="12">
    <w:abstractNumId w:val="23"/>
  </w:num>
  <w:num w:numId="13">
    <w:abstractNumId w:val="24"/>
  </w:num>
  <w:num w:numId="14">
    <w:abstractNumId w:val="13"/>
  </w:num>
  <w:num w:numId="15">
    <w:abstractNumId w:val="19"/>
  </w:num>
  <w:num w:numId="16">
    <w:abstractNumId w:val="5"/>
  </w:num>
  <w:num w:numId="17">
    <w:abstractNumId w:val="12"/>
  </w:num>
  <w:num w:numId="18">
    <w:abstractNumId w:val="8"/>
  </w:num>
  <w:num w:numId="19">
    <w:abstractNumId w:val="16"/>
  </w:num>
  <w:num w:numId="20">
    <w:abstractNumId w:val="6"/>
  </w:num>
  <w:num w:numId="21">
    <w:abstractNumId w:val="0"/>
  </w:num>
  <w:num w:numId="22">
    <w:abstractNumId w:val="20"/>
  </w:num>
  <w:num w:numId="23">
    <w:abstractNumId w:val="25"/>
  </w:num>
  <w:num w:numId="24">
    <w:abstractNumId w:val="10"/>
  </w:num>
  <w:num w:numId="25">
    <w:abstractNumId w:val="15"/>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3665" fillcolor="#0cf">
      <v:fill color="#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19A"/>
    <w:rsid w:val="000005D4"/>
    <w:rsid w:val="00001364"/>
    <w:rsid w:val="00001BB4"/>
    <w:rsid w:val="00002007"/>
    <w:rsid w:val="00003BA1"/>
    <w:rsid w:val="0000702A"/>
    <w:rsid w:val="0000748E"/>
    <w:rsid w:val="00011002"/>
    <w:rsid w:val="00012401"/>
    <w:rsid w:val="00012F77"/>
    <w:rsid w:val="0001371E"/>
    <w:rsid w:val="00014FD3"/>
    <w:rsid w:val="00017568"/>
    <w:rsid w:val="000208A9"/>
    <w:rsid w:val="0003389F"/>
    <w:rsid w:val="00037771"/>
    <w:rsid w:val="00037D61"/>
    <w:rsid w:val="00040851"/>
    <w:rsid w:val="00043E4B"/>
    <w:rsid w:val="0005150C"/>
    <w:rsid w:val="00053F0F"/>
    <w:rsid w:val="00062131"/>
    <w:rsid w:val="00063CED"/>
    <w:rsid w:val="00063EF3"/>
    <w:rsid w:val="00071299"/>
    <w:rsid w:val="00077C6C"/>
    <w:rsid w:val="00090AFE"/>
    <w:rsid w:val="000A06AA"/>
    <w:rsid w:val="000A1E30"/>
    <w:rsid w:val="000A22D4"/>
    <w:rsid w:val="000A5F1C"/>
    <w:rsid w:val="000B2B44"/>
    <w:rsid w:val="000C2DE4"/>
    <w:rsid w:val="000C4717"/>
    <w:rsid w:val="000C48B0"/>
    <w:rsid w:val="000D3030"/>
    <w:rsid w:val="000D5C9E"/>
    <w:rsid w:val="000E2916"/>
    <w:rsid w:val="000E39AC"/>
    <w:rsid w:val="001006B7"/>
    <w:rsid w:val="00114EFB"/>
    <w:rsid w:val="00117F87"/>
    <w:rsid w:val="00121BAB"/>
    <w:rsid w:val="00122D95"/>
    <w:rsid w:val="00123C5C"/>
    <w:rsid w:val="00124893"/>
    <w:rsid w:val="00133E4A"/>
    <w:rsid w:val="00135FFC"/>
    <w:rsid w:val="00136547"/>
    <w:rsid w:val="0013737F"/>
    <w:rsid w:val="001403DA"/>
    <w:rsid w:val="00144AC1"/>
    <w:rsid w:val="00145EDC"/>
    <w:rsid w:val="001514A8"/>
    <w:rsid w:val="0015776A"/>
    <w:rsid w:val="0016102E"/>
    <w:rsid w:val="00171E3F"/>
    <w:rsid w:val="0017711B"/>
    <w:rsid w:val="001906D1"/>
    <w:rsid w:val="00193C97"/>
    <w:rsid w:val="0019564C"/>
    <w:rsid w:val="001A0DB3"/>
    <w:rsid w:val="001A319B"/>
    <w:rsid w:val="001A42CA"/>
    <w:rsid w:val="001A6667"/>
    <w:rsid w:val="001A73C8"/>
    <w:rsid w:val="001B1E55"/>
    <w:rsid w:val="001B1FB6"/>
    <w:rsid w:val="001B6915"/>
    <w:rsid w:val="001D606D"/>
    <w:rsid w:val="001E36D4"/>
    <w:rsid w:val="001E5A54"/>
    <w:rsid w:val="00203F7C"/>
    <w:rsid w:val="002050AC"/>
    <w:rsid w:val="002233D1"/>
    <w:rsid w:val="00225409"/>
    <w:rsid w:val="00231E06"/>
    <w:rsid w:val="00233A55"/>
    <w:rsid w:val="0023548C"/>
    <w:rsid w:val="00241855"/>
    <w:rsid w:val="00244E12"/>
    <w:rsid w:val="00245EFA"/>
    <w:rsid w:val="00246146"/>
    <w:rsid w:val="00246F1A"/>
    <w:rsid w:val="002473CD"/>
    <w:rsid w:val="0025275D"/>
    <w:rsid w:val="00255095"/>
    <w:rsid w:val="00265AD8"/>
    <w:rsid w:val="00266306"/>
    <w:rsid w:val="00274410"/>
    <w:rsid w:val="0027712A"/>
    <w:rsid w:val="002815DD"/>
    <w:rsid w:val="00283D0E"/>
    <w:rsid w:val="00287471"/>
    <w:rsid w:val="00287E2D"/>
    <w:rsid w:val="00290E74"/>
    <w:rsid w:val="002A427E"/>
    <w:rsid w:val="002B006D"/>
    <w:rsid w:val="002B02D6"/>
    <w:rsid w:val="002B071F"/>
    <w:rsid w:val="002B4910"/>
    <w:rsid w:val="002B5335"/>
    <w:rsid w:val="002C523B"/>
    <w:rsid w:val="002C5275"/>
    <w:rsid w:val="002C6C81"/>
    <w:rsid w:val="002D1C0E"/>
    <w:rsid w:val="002D3AC9"/>
    <w:rsid w:val="002D4CAC"/>
    <w:rsid w:val="002E1F7A"/>
    <w:rsid w:val="002E6213"/>
    <w:rsid w:val="002F0EB1"/>
    <w:rsid w:val="002F4F26"/>
    <w:rsid w:val="00301CFB"/>
    <w:rsid w:val="0030685A"/>
    <w:rsid w:val="00313547"/>
    <w:rsid w:val="00317E3F"/>
    <w:rsid w:val="0033009B"/>
    <w:rsid w:val="00332840"/>
    <w:rsid w:val="00334CDB"/>
    <w:rsid w:val="00341FC9"/>
    <w:rsid w:val="00343C64"/>
    <w:rsid w:val="00346D68"/>
    <w:rsid w:val="0035585C"/>
    <w:rsid w:val="00362DAF"/>
    <w:rsid w:val="003651E5"/>
    <w:rsid w:val="003657A0"/>
    <w:rsid w:val="00366623"/>
    <w:rsid w:val="003729E7"/>
    <w:rsid w:val="003777B9"/>
    <w:rsid w:val="00377D01"/>
    <w:rsid w:val="003819BF"/>
    <w:rsid w:val="00382338"/>
    <w:rsid w:val="00383257"/>
    <w:rsid w:val="0039218A"/>
    <w:rsid w:val="0039545E"/>
    <w:rsid w:val="0039764B"/>
    <w:rsid w:val="003A3865"/>
    <w:rsid w:val="003A7023"/>
    <w:rsid w:val="003B0083"/>
    <w:rsid w:val="003C22C1"/>
    <w:rsid w:val="003C2A90"/>
    <w:rsid w:val="003C3873"/>
    <w:rsid w:val="003E0B49"/>
    <w:rsid w:val="003E5954"/>
    <w:rsid w:val="003E59D1"/>
    <w:rsid w:val="003E6B4B"/>
    <w:rsid w:val="003F4786"/>
    <w:rsid w:val="00401918"/>
    <w:rsid w:val="00416CD3"/>
    <w:rsid w:val="0042475F"/>
    <w:rsid w:val="00424EE3"/>
    <w:rsid w:val="00430DE4"/>
    <w:rsid w:val="00433739"/>
    <w:rsid w:val="004337C2"/>
    <w:rsid w:val="0043583D"/>
    <w:rsid w:val="004376CE"/>
    <w:rsid w:val="004444C0"/>
    <w:rsid w:val="00444CBE"/>
    <w:rsid w:val="004528DB"/>
    <w:rsid w:val="00454432"/>
    <w:rsid w:val="00454ECC"/>
    <w:rsid w:val="004556A3"/>
    <w:rsid w:val="0046019B"/>
    <w:rsid w:val="00462079"/>
    <w:rsid w:val="00463616"/>
    <w:rsid w:val="00467C5D"/>
    <w:rsid w:val="004706CB"/>
    <w:rsid w:val="00482509"/>
    <w:rsid w:val="0048461E"/>
    <w:rsid w:val="004851A4"/>
    <w:rsid w:val="00485D34"/>
    <w:rsid w:val="00486C93"/>
    <w:rsid w:val="00490170"/>
    <w:rsid w:val="00490802"/>
    <w:rsid w:val="004A0789"/>
    <w:rsid w:val="004A690C"/>
    <w:rsid w:val="004B25D2"/>
    <w:rsid w:val="004B649A"/>
    <w:rsid w:val="004C3D77"/>
    <w:rsid w:val="004C6729"/>
    <w:rsid w:val="004D482F"/>
    <w:rsid w:val="004D7E07"/>
    <w:rsid w:val="004D7E71"/>
    <w:rsid w:val="004E68FF"/>
    <w:rsid w:val="004F0F3D"/>
    <w:rsid w:val="004F62E3"/>
    <w:rsid w:val="0050157B"/>
    <w:rsid w:val="0050725D"/>
    <w:rsid w:val="00511E6B"/>
    <w:rsid w:val="00517296"/>
    <w:rsid w:val="00520682"/>
    <w:rsid w:val="0052083E"/>
    <w:rsid w:val="00521BAF"/>
    <w:rsid w:val="0052565A"/>
    <w:rsid w:val="00526486"/>
    <w:rsid w:val="00526494"/>
    <w:rsid w:val="00536FEC"/>
    <w:rsid w:val="0054398E"/>
    <w:rsid w:val="0054539F"/>
    <w:rsid w:val="00553B1E"/>
    <w:rsid w:val="00554970"/>
    <w:rsid w:val="0055667E"/>
    <w:rsid w:val="00567F35"/>
    <w:rsid w:val="005724E2"/>
    <w:rsid w:val="00576B2A"/>
    <w:rsid w:val="0057785B"/>
    <w:rsid w:val="005806DE"/>
    <w:rsid w:val="00583039"/>
    <w:rsid w:val="00585D97"/>
    <w:rsid w:val="00587C6A"/>
    <w:rsid w:val="005A03C6"/>
    <w:rsid w:val="005B120F"/>
    <w:rsid w:val="005C019F"/>
    <w:rsid w:val="005C05B4"/>
    <w:rsid w:val="005C3641"/>
    <w:rsid w:val="005C6667"/>
    <w:rsid w:val="005D0A6E"/>
    <w:rsid w:val="005D425E"/>
    <w:rsid w:val="005D4B1C"/>
    <w:rsid w:val="005D792A"/>
    <w:rsid w:val="005D7F52"/>
    <w:rsid w:val="005E6B0A"/>
    <w:rsid w:val="005F15EB"/>
    <w:rsid w:val="005F2FC8"/>
    <w:rsid w:val="00600770"/>
    <w:rsid w:val="00601426"/>
    <w:rsid w:val="00605D49"/>
    <w:rsid w:val="00607064"/>
    <w:rsid w:val="006137E1"/>
    <w:rsid w:val="006138BB"/>
    <w:rsid w:val="006172A2"/>
    <w:rsid w:val="00620CCB"/>
    <w:rsid w:val="00626097"/>
    <w:rsid w:val="00626A59"/>
    <w:rsid w:val="00627B89"/>
    <w:rsid w:val="00634938"/>
    <w:rsid w:val="0064217F"/>
    <w:rsid w:val="00644348"/>
    <w:rsid w:val="00644AC9"/>
    <w:rsid w:val="006522B3"/>
    <w:rsid w:val="00652CE0"/>
    <w:rsid w:val="00655CE6"/>
    <w:rsid w:val="0066057C"/>
    <w:rsid w:val="00664348"/>
    <w:rsid w:val="00667F8A"/>
    <w:rsid w:val="00671547"/>
    <w:rsid w:val="006753D5"/>
    <w:rsid w:val="006847D1"/>
    <w:rsid w:val="00687A89"/>
    <w:rsid w:val="00690203"/>
    <w:rsid w:val="00692CD8"/>
    <w:rsid w:val="00693F4C"/>
    <w:rsid w:val="006A23FA"/>
    <w:rsid w:val="006A7236"/>
    <w:rsid w:val="006B1974"/>
    <w:rsid w:val="006B1C3B"/>
    <w:rsid w:val="006B1D69"/>
    <w:rsid w:val="006B2EAC"/>
    <w:rsid w:val="006B7EC1"/>
    <w:rsid w:val="006C3101"/>
    <w:rsid w:val="006C70DC"/>
    <w:rsid w:val="006D0BA8"/>
    <w:rsid w:val="006D645A"/>
    <w:rsid w:val="006E083B"/>
    <w:rsid w:val="006F31E3"/>
    <w:rsid w:val="006F3FDD"/>
    <w:rsid w:val="007038D0"/>
    <w:rsid w:val="00704D1A"/>
    <w:rsid w:val="00715808"/>
    <w:rsid w:val="00724C65"/>
    <w:rsid w:val="00730CB4"/>
    <w:rsid w:val="007329A5"/>
    <w:rsid w:val="0075284F"/>
    <w:rsid w:val="00752865"/>
    <w:rsid w:val="00753C99"/>
    <w:rsid w:val="007555D9"/>
    <w:rsid w:val="0077272E"/>
    <w:rsid w:val="00775A79"/>
    <w:rsid w:val="007766F5"/>
    <w:rsid w:val="007779C3"/>
    <w:rsid w:val="00784DC8"/>
    <w:rsid w:val="00795039"/>
    <w:rsid w:val="007A1FA2"/>
    <w:rsid w:val="007A2160"/>
    <w:rsid w:val="007B42C9"/>
    <w:rsid w:val="007D5702"/>
    <w:rsid w:val="007D6418"/>
    <w:rsid w:val="007E4C28"/>
    <w:rsid w:val="008003B1"/>
    <w:rsid w:val="00802565"/>
    <w:rsid w:val="0081204E"/>
    <w:rsid w:val="00812A34"/>
    <w:rsid w:val="008160EB"/>
    <w:rsid w:val="00823FB9"/>
    <w:rsid w:val="00834AFA"/>
    <w:rsid w:val="00837E00"/>
    <w:rsid w:val="0085079E"/>
    <w:rsid w:val="008615BB"/>
    <w:rsid w:val="00874911"/>
    <w:rsid w:val="00881D68"/>
    <w:rsid w:val="00883D52"/>
    <w:rsid w:val="00884460"/>
    <w:rsid w:val="0089055D"/>
    <w:rsid w:val="00895D91"/>
    <w:rsid w:val="008A1ACE"/>
    <w:rsid w:val="008A65B8"/>
    <w:rsid w:val="008A6B44"/>
    <w:rsid w:val="008B473A"/>
    <w:rsid w:val="008B7105"/>
    <w:rsid w:val="008C3583"/>
    <w:rsid w:val="008C3BAE"/>
    <w:rsid w:val="008C4C2C"/>
    <w:rsid w:val="008C59FF"/>
    <w:rsid w:val="008C5C63"/>
    <w:rsid w:val="008D1D21"/>
    <w:rsid w:val="008D3D7D"/>
    <w:rsid w:val="008E0CF0"/>
    <w:rsid w:val="008E2DBA"/>
    <w:rsid w:val="008F02CC"/>
    <w:rsid w:val="008F5B6E"/>
    <w:rsid w:val="008F6A64"/>
    <w:rsid w:val="008F6E2A"/>
    <w:rsid w:val="008F6F37"/>
    <w:rsid w:val="00900B7C"/>
    <w:rsid w:val="00900CBC"/>
    <w:rsid w:val="00903E7C"/>
    <w:rsid w:val="009058C2"/>
    <w:rsid w:val="00907758"/>
    <w:rsid w:val="009079D6"/>
    <w:rsid w:val="00925D66"/>
    <w:rsid w:val="009451FA"/>
    <w:rsid w:val="00945A23"/>
    <w:rsid w:val="0094662B"/>
    <w:rsid w:val="00946A62"/>
    <w:rsid w:val="00946BFD"/>
    <w:rsid w:val="00957B44"/>
    <w:rsid w:val="0096228F"/>
    <w:rsid w:val="00962DC8"/>
    <w:rsid w:val="00963CCB"/>
    <w:rsid w:val="009662B3"/>
    <w:rsid w:val="00966FEC"/>
    <w:rsid w:val="00977B9B"/>
    <w:rsid w:val="00983AD4"/>
    <w:rsid w:val="009873B2"/>
    <w:rsid w:val="00987CA7"/>
    <w:rsid w:val="009A13F0"/>
    <w:rsid w:val="009A19FB"/>
    <w:rsid w:val="009A58EF"/>
    <w:rsid w:val="009A5A27"/>
    <w:rsid w:val="009B0584"/>
    <w:rsid w:val="009B1142"/>
    <w:rsid w:val="009B1319"/>
    <w:rsid w:val="009B2018"/>
    <w:rsid w:val="009B4F65"/>
    <w:rsid w:val="009B536A"/>
    <w:rsid w:val="009C393B"/>
    <w:rsid w:val="009C39EC"/>
    <w:rsid w:val="009C5CDE"/>
    <w:rsid w:val="009E1A62"/>
    <w:rsid w:val="009E21E0"/>
    <w:rsid w:val="009E4FA2"/>
    <w:rsid w:val="00A03EA7"/>
    <w:rsid w:val="00A06050"/>
    <w:rsid w:val="00A06C19"/>
    <w:rsid w:val="00A11C78"/>
    <w:rsid w:val="00A140CD"/>
    <w:rsid w:val="00A14A84"/>
    <w:rsid w:val="00A167A9"/>
    <w:rsid w:val="00A20463"/>
    <w:rsid w:val="00A21488"/>
    <w:rsid w:val="00A25F9F"/>
    <w:rsid w:val="00A37336"/>
    <w:rsid w:val="00A40FF6"/>
    <w:rsid w:val="00A46387"/>
    <w:rsid w:val="00A53E13"/>
    <w:rsid w:val="00A5599C"/>
    <w:rsid w:val="00A6219A"/>
    <w:rsid w:val="00A67678"/>
    <w:rsid w:val="00A801B3"/>
    <w:rsid w:val="00A82570"/>
    <w:rsid w:val="00A832D0"/>
    <w:rsid w:val="00A8597A"/>
    <w:rsid w:val="00A86CE0"/>
    <w:rsid w:val="00A93BBD"/>
    <w:rsid w:val="00A95F13"/>
    <w:rsid w:val="00A960F0"/>
    <w:rsid w:val="00AA5B0E"/>
    <w:rsid w:val="00AB1236"/>
    <w:rsid w:val="00AC0EE2"/>
    <w:rsid w:val="00AC4D32"/>
    <w:rsid w:val="00AC5E41"/>
    <w:rsid w:val="00AC7F42"/>
    <w:rsid w:val="00AD176D"/>
    <w:rsid w:val="00AD1E16"/>
    <w:rsid w:val="00AE1BA1"/>
    <w:rsid w:val="00AE2DD4"/>
    <w:rsid w:val="00AF1234"/>
    <w:rsid w:val="00AF307B"/>
    <w:rsid w:val="00AF47EE"/>
    <w:rsid w:val="00AF4E8F"/>
    <w:rsid w:val="00AF7AE0"/>
    <w:rsid w:val="00B05906"/>
    <w:rsid w:val="00B1310F"/>
    <w:rsid w:val="00B13186"/>
    <w:rsid w:val="00B14797"/>
    <w:rsid w:val="00B17225"/>
    <w:rsid w:val="00B26C30"/>
    <w:rsid w:val="00B27C3E"/>
    <w:rsid w:val="00B37B43"/>
    <w:rsid w:val="00B40609"/>
    <w:rsid w:val="00B42E58"/>
    <w:rsid w:val="00B51BAB"/>
    <w:rsid w:val="00B5677B"/>
    <w:rsid w:val="00B57787"/>
    <w:rsid w:val="00B61B79"/>
    <w:rsid w:val="00B62492"/>
    <w:rsid w:val="00B72521"/>
    <w:rsid w:val="00B749D2"/>
    <w:rsid w:val="00B75E9C"/>
    <w:rsid w:val="00B765C1"/>
    <w:rsid w:val="00B806FE"/>
    <w:rsid w:val="00B82AAF"/>
    <w:rsid w:val="00B8568C"/>
    <w:rsid w:val="00B9020D"/>
    <w:rsid w:val="00B924D1"/>
    <w:rsid w:val="00B92BB4"/>
    <w:rsid w:val="00B93C79"/>
    <w:rsid w:val="00B958C1"/>
    <w:rsid w:val="00B97505"/>
    <w:rsid w:val="00BA7769"/>
    <w:rsid w:val="00BB1C66"/>
    <w:rsid w:val="00BB245B"/>
    <w:rsid w:val="00BC010A"/>
    <w:rsid w:val="00BD4AB7"/>
    <w:rsid w:val="00BD4B4A"/>
    <w:rsid w:val="00BD610A"/>
    <w:rsid w:val="00BE231B"/>
    <w:rsid w:val="00BE703B"/>
    <w:rsid w:val="00BE7A5F"/>
    <w:rsid w:val="00BF3857"/>
    <w:rsid w:val="00C02E36"/>
    <w:rsid w:val="00C07A4B"/>
    <w:rsid w:val="00C157CD"/>
    <w:rsid w:val="00C20035"/>
    <w:rsid w:val="00C2602D"/>
    <w:rsid w:val="00C32ADE"/>
    <w:rsid w:val="00C33F23"/>
    <w:rsid w:val="00C41DE0"/>
    <w:rsid w:val="00C42CC7"/>
    <w:rsid w:val="00C51F2C"/>
    <w:rsid w:val="00C6043E"/>
    <w:rsid w:val="00C703A6"/>
    <w:rsid w:val="00C70EFC"/>
    <w:rsid w:val="00C759F8"/>
    <w:rsid w:val="00C77AFC"/>
    <w:rsid w:val="00C80181"/>
    <w:rsid w:val="00C810AD"/>
    <w:rsid w:val="00C82A6A"/>
    <w:rsid w:val="00C837C5"/>
    <w:rsid w:val="00C906A3"/>
    <w:rsid w:val="00CA53F9"/>
    <w:rsid w:val="00CA6289"/>
    <w:rsid w:val="00CB11CC"/>
    <w:rsid w:val="00CB301B"/>
    <w:rsid w:val="00CB3769"/>
    <w:rsid w:val="00CE041A"/>
    <w:rsid w:val="00CE2AB6"/>
    <w:rsid w:val="00D01C20"/>
    <w:rsid w:val="00D12387"/>
    <w:rsid w:val="00D15EE7"/>
    <w:rsid w:val="00D25831"/>
    <w:rsid w:val="00D3132A"/>
    <w:rsid w:val="00D32146"/>
    <w:rsid w:val="00D41B35"/>
    <w:rsid w:val="00D470F2"/>
    <w:rsid w:val="00D50A80"/>
    <w:rsid w:val="00D54E42"/>
    <w:rsid w:val="00D60341"/>
    <w:rsid w:val="00D664FC"/>
    <w:rsid w:val="00D67A65"/>
    <w:rsid w:val="00D761D9"/>
    <w:rsid w:val="00D91C2D"/>
    <w:rsid w:val="00D9717A"/>
    <w:rsid w:val="00DA19FE"/>
    <w:rsid w:val="00DA53EA"/>
    <w:rsid w:val="00DA6ACE"/>
    <w:rsid w:val="00DB2D50"/>
    <w:rsid w:val="00DB52A4"/>
    <w:rsid w:val="00DC5934"/>
    <w:rsid w:val="00DC6A38"/>
    <w:rsid w:val="00DD353A"/>
    <w:rsid w:val="00DE0B2A"/>
    <w:rsid w:val="00DE4CF0"/>
    <w:rsid w:val="00DF3732"/>
    <w:rsid w:val="00E01162"/>
    <w:rsid w:val="00E042FE"/>
    <w:rsid w:val="00E11887"/>
    <w:rsid w:val="00E12701"/>
    <w:rsid w:val="00E12F74"/>
    <w:rsid w:val="00E15CEC"/>
    <w:rsid w:val="00E4235E"/>
    <w:rsid w:val="00E43995"/>
    <w:rsid w:val="00E43E6C"/>
    <w:rsid w:val="00E4500E"/>
    <w:rsid w:val="00E45EA8"/>
    <w:rsid w:val="00E46BF3"/>
    <w:rsid w:val="00E4797A"/>
    <w:rsid w:val="00E54A81"/>
    <w:rsid w:val="00E61D48"/>
    <w:rsid w:val="00E64C29"/>
    <w:rsid w:val="00E64FCE"/>
    <w:rsid w:val="00E66102"/>
    <w:rsid w:val="00E71540"/>
    <w:rsid w:val="00E72E10"/>
    <w:rsid w:val="00E74909"/>
    <w:rsid w:val="00E756D7"/>
    <w:rsid w:val="00E81602"/>
    <w:rsid w:val="00E97DFA"/>
    <w:rsid w:val="00E97E4E"/>
    <w:rsid w:val="00EA0EA6"/>
    <w:rsid w:val="00EA41BD"/>
    <w:rsid w:val="00EA6DF0"/>
    <w:rsid w:val="00EB1792"/>
    <w:rsid w:val="00EB1D39"/>
    <w:rsid w:val="00EB2A21"/>
    <w:rsid w:val="00EB7844"/>
    <w:rsid w:val="00EC3D3F"/>
    <w:rsid w:val="00EC6B4C"/>
    <w:rsid w:val="00ED05B5"/>
    <w:rsid w:val="00ED5701"/>
    <w:rsid w:val="00ED5A74"/>
    <w:rsid w:val="00EE2099"/>
    <w:rsid w:val="00EE3D97"/>
    <w:rsid w:val="00EE4C6B"/>
    <w:rsid w:val="00EF5205"/>
    <w:rsid w:val="00EF7FD1"/>
    <w:rsid w:val="00F0136C"/>
    <w:rsid w:val="00F03EBE"/>
    <w:rsid w:val="00F05888"/>
    <w:rsid w:val="00F068D5"/>
    <w:rsid w:val="00F074CF"/>
    <w:rsid w:val="00F075C3"/>
    <w:rsid w:val="00F12730"/>
    <w:rsid w:val="00F13B81"/>
    <w:rsid w:val="00F164F8"/>
    <w:rsid w:val="00F20821"/>
    <w:rsid w:val="00F2102F"/>
    <w:rsid w:val="00F22580"/>
    <w:rsid w:val="00F23C9A"/>
    <w:rsid w:val="00F27AA6"/>
    <w:rsid w:val="00F3413C"/>
    <w:rsid w:val="00F34827"/>
    <w:rsid w:val="00F412AC"/>
    <w:rsid w:val="00F41B8F"/>
    <w:rsid w:val="00F448C7"/>
    <w:rsid w:val="00F477FD"/>
    <w:rsid w:val="00F50707"/>
    <w:rsid w:val="00F51194"/>
    <w:rsid w:val="00F57C73"/>
    <w:rsid w:val="00F57D80"/>
    <w:rsid w:val="00F63E49"/>
    <w:rsid w:val="00F70BB1"/>
    <w:rsid w:val="00F766D2"/>
    <w:rsid w:val="00F80F53"/>
    <w:rsid w:val="00F865FE"/>
    <w:rsid w:val="00F90160"/>
    <w:rsid w:val="00F9141E"/>
    <w:rsid w:val="00F91540"/>
    <w:rsid w:val="00F9666E"/>
    <w:rsid w:val="00F96C87"/>
    <w:rsid w:val="00F96D1A"/>
    <w:rsid w:val="00FA6FFB"/>
    <w:rsid w:val="00FB06CD"/>
    <w:rsid w:val="00FB2B0F"/>
    <w:rsid w:val="00FC544D"/>
    <w:rsid w:val="00FC6C9C"/>
    <w:rsid w:val="00FD7CBC"/>
    <w:rsid w:val="00FE0CEA"/>
    <w:rsid w:val="00FE5053"/>
    <w:rsid w:val="00FE55F8"/>
    <w:rsid w:val="00FF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fillcolor="#0cf">
      <v:fill color="#0cf"/>
    </o:shapedefaults>
    <o:shapelayout v:ext="edit">
      <o:idmap v:ext="edit" data="1"/>
    </o:shapelayout>
  </w:shapeDefaults>
  <w:decimalSymbol w:val="."/>
  <w:listSeparator w:val=","/>
  <w14:docId w14:val="75113A07"/>
  <w15:docId w15:val="{73E9CE0D-B57B-42E7-B424-4BC4314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link w:val="Heading6Char"/>
    <w:semiHidden/>
    <w:unhideWhenUsed/>
    <w:qFormat/>
    <w:rsid w:val="00587C6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2146"/>
    <w:pPr>
      <w:keepNext/>
      <w:numPr>
        <w:numId w:val="2"/>
      </w:numPr>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ascii="Courier New" w:hAnsi="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link w:val="BodyTextIndentChar"/>
    <w:pPr>
      <w:ind w:left="360"/>
      <w:jc w:val="both"/>
    </w:pPr>
    <w:rPr>
      <w:sz w:val="22"/>
    </w:rPr>
  </w:style>
  <w:style w:type="paragraph" w:styleId="BodyTextIndent2">
    <w:name w:val="Body Text Indent 2"/>
    <w:basedOn w:val="Normal"/>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rPr>
      <w:rFonts w:ascii="Arial" w:hAnsi="Arial"/>
      <w:sz w:val="22"/>
      <w:lang w:val="en-GB" w:eastAsia="en-US" w:bidi="ar-SA"/>
    </w:rPr>
  </w:style>
  <w:style w:type="character" w:styleId="FollowedHyperlink">
    <w:name w:val="FollowedHyperlink"/>
    <w:rPr>
      <w:color w:val="800080"/>
      <w:u w:val="single"/>
    </w:rPr>
  </w:style>
  <w:style w:type="paragraph" w:customStyle="1" w:styleId="Bullet">
    <w:name w:val="Bullet"/>
    <w:basedOn w:val="Normal"/>
    <w:pPr>
      <w:numPr>
        <w:numId w:val="1"/>
      </w:numPr>
    </w:pPr>
    <w:rPr>
      <w:rFonts w:ascii="Times New Roman" w:hAnsi="Times New Roman"/>
      <w:szCs w:val="24"/>
      <w:lang w:eastAsia="en-GB"/>
    </w:rPr>
  </w:style>
  <w:style w:type="paragraph" w:styleId="BodyText3">
    <w:name w:val="Body Text 3"/>
    <w:basedOn w:val="Normal"/>
    <w:rPr>
      <w:b/>
    </w:rPr>
  </w:style>
  <w:style w:type="character" w:styleId="CommentReference">
    <w:name w:val="annotation reference"/>
    <w:semiHidden/>
    <w:rsid w:val="00FF6CAA"/>
    <w:rPr>
      <w:sz w:val="16"/>
      <w:szCs w:val="16"/>
    </w:rPr>
  </w:style>
  <w:style w:type="paragraph" w:styleId="CommentText">
    <w:name w:val="annotation text"/>
    <w:basedOn w:val="Normal"/>
    <w:semiHidden/>
    <w:rsid w:val="00FF6CAA"/>
    <w:rPr>
      <w:sz w:val="20"/>
    </w:rPr>
  </w:style>
  <w:style w:type="paragraph" w:styleId="CommentSubject">
    <w:name w:val="annotation subject"/>
    <w:basedOn w:val="CommentText"/>
    <w:next w:val="CommentText"/>
    <w:semiHidden/>
    <w:rsid w:val="00FF6CAA"/>
    <w:rPr>
      <w:b/>
      <w:bCs/>
    </w:rPr>
  </w:style>
  <w:style w:type="paragraph" w:styleId="ListParagraph">
    <w:name w:val="List Paragraph"/>
    <w:basedOn w:val="Normal"/>
    <w:uiPriority w:val="34"/>
    <w:qFormat/>
    <w:rsid w:val="005C05B4"/>
    <w:pPr>
      <w:ind w:left="720"/>
    </w:pPr>
    <w:rPr>
      <w:rFonts w:ascii="Calibri" w:eastAsia="Calibri" w:hAnsi="Calibri"/>
      <w:sz w:val="22"/>
      <w:szCs w:val="22"/>
      <w:lang w:eastAsia="en-GB"/>
    </w:rPr>
  </w:style>
  <w:style w:type="character" w:customStyle="1" w:styleId="BodyTextIndentChar">
    <w:name w:val="Body Text Indent Char"/>
    <w:link w:val="BodyTextIndent"/>
    <w:rsid w:val="005C3641"/>
    <w:rPr>
      <w:rFonts w:ascii="Arial" w:hAnsi="Arial"/>
      <w:sz w:val="22"/>
      <w:lang w:eastAsia="en-US"/>
    </w:rPr>
  </w:style>
  <w:style w:type="character" w:customStyle="1" w:styleId="Heading6Char">
    <w:name w:val="Heading 6 Char"/>
    <w:basedOn w:val="DefaultParagraphFont"/>
    <w:link w:val="Heading6"/>
    <w:semiHidden/>
    <w:rsid w:val="00587C6A"/>
    <w:rPr>
      <w:rFonts w:asciiTheme="majorHAnsi" w:eastAsiaTheme="majorEastAsia" w:hAnsiTheme="majorHAnsi" w:cstheme="majorBidi"/>
      <w:i/>
      <w:iCs/>
      <w:color w:val="243F60" w:themeColor="accent1" w:themeShade="7F"/>
      <w:sz w:val="24"/>
      <w:lang w:eastAsia="en-US"/>
    </w:rPr>
  </w:style>
  <w:style w:type="character" w:customStyle="1" w:styleId="HeaderChar">
    <w:name w:val="Header Char"/>
    <w:link w:val="Header"/>
    <w:rsid w:val="0019564C"/>
    <w:rPr>
      <w:rFonts w:ascii="Arial" w:hAnsi="Arial"/>
      <w:sz w:val="24"/>
      <w:lang w:eastAsia="en-US"/>
    </w:rPr>
  </w:style>
  <w:style w:type="paragraph" w:styleId="NormalWeb">
    <w:name w:val="Normal (Web)"/>
    <w:basedOn w:val="Normal"/>
    <w:rsid w:val="00A140CD"/>
    <w:rPr>
      <w:rFonts w:ascii="Times New Roman" w:hAnsi="Times New Roman"/>
      <w:szCs w:val="24"/>
    </w:rPr>
  </w:style>
  <w:style w:type="paragraph" w:customStyle="1" w:styleId="Default">
    <w:name w:val="Default"/>
    <w:rsid w:val="0052565A"/>
    <w:pPr>
      <w:autoSpaceDE w:val="0"/>
      <w:autoSpaceDN w:val="0"/>
      <w:adjustRightInd w:val="0"/>
    </w:pPr>
    <w:rPr>
      <w:color w:val="000000"/>
      <w:sz w:val="24"/>
      <w:szCs w:val="24"/>
    </w:rPr>
  </w:style>
  <w:style w:type="character" w:styleId="Strong">
    <w:name w:val="Strong"/>
    <w:basedOn w:val="DefaultParagraphFont"/>
    <w:uiPriority w:val="22"/>
    <w:qFormat/>
    <w:rsid w:val="00E81602"/>
    <w:rPr>
      <w:b/>
      <w:bCs/>
    </w:rPr>
  </w:style>
  <w:style w:type="paragraph" w:styleId="Revision">
    <w:name w:val="Revision"/>
    <w:hidden/>
    <w:uiPriority w:val="99"/>
    <w:semiHidden/>
    <w:rsid w:val="00957B44"/>
    <w:rPr>
      <w:rFonts w:ascii="Arial" w:hAnsi="Arial"/>
      <w:sz w:val="24"/>
      <w:lang w:eastAsia="en-US"/>
    </w:rPr>
  </w:style>
  <w:style w:type="paragraph" w:styleId="NoSpacing">
    <w:name w:val="No Spacing"/>
    <w:uiPriority w:val="1"/>
    <w:qFormat/>
    <w:rsid w:val="006F31E3"/>
    <w:rPr>
      <w:rFonts w:ascii="Arial" w:hAnsi="Arial"/>
      <w:sz w:val="24"/>
      <w:lang w:eastAsia="en-US"/>
    </w:rPr>
  </w:style>
  <w:style w:type="character" w:customStyle="1" w:styleId="FooterChar">
    <w:name w:val="Footer Char"/>
    <w:link w:val="Footer"/>
    <w:rsid w:val="00CB11CC"/>
    <w:rPr>
      <w:rFonts w:ascii="Courier New" w:hAnsi="Courier New"/>
      <w:sz w:val="24"/>
      <w:lang w:eastAsia="en-US"/>
    </w:rPr>
  </w:style>
  <w:style w:type="character" w:customStyle="1" w:styleId="apple-converted-space">
    <w:name w:val="apple-converted-space"/>
    <w:basedOn w:val="DefaultParagraphFont"/>
    <w:rsid w:val="0081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7730">
      <w:bodyDiv w:val="1"/>
      <w:marLeft w:val="0"/>
      <w:marRight w:val="0"/>
      <w:marTop w:val="0"/>
      <w:marBottom w:val="0"/>
      <w:divBdr>
        <w:top w:val="none" w:sz="0" w:space="0" w:color="auto"/>
        <w:left w:val="none" w:sz="0" w:space="0" w:color="auto"/>
        <w:bottom w:val="none" w:sz="0" w:space="0" w:color="auto"/>
        <w:right w:val="none" w:sz="0" w:space="0" w:color="auto"/>
      </w:divBdr>
    </w:div>
    <w:div w:id="32198611">
      <w:bodyDiv w:val="1"/>
      <w:marLeft w:val="0"/>
      <w:marRight w:val="0"/>
      <w:marTop w:val="0"/>
      <w:marBottom w:val="0"/>
      <w:divBdr>
        <w:top w:val="none" w:sz="0" w:space="0" w:color="auto"/>
        <w:left w:val="none" w:sz="0" w:space="0" w:color="auto"/>
        <w:bottom w:val="none" w:sz="0" w:space="0" w:color="auto"/>
        <w:right w:val="none" w:sz="0" w:space="0" w:color="auto"/>
      </w:divBdr>
    </w:div>
    <w:div w:id="110787555">
      <w:bodyDiv w:val="1"/>
      <w:marLeft w:val="0"/>
      <w:marRight w:val="0"/>
      <w:marTop w:val="0"/>
      <w:marBottom w:val="0"/>
      <w:divBdr>
        <w:top w:val="none" w:sz="0" w:space="0" w:color="auto"/>
        <w:left w:val="none" w:sz="0" w:space="0" w:color="auto"/>
        <w:bottom w:val="none" w:sz="0" w:space="0" w:color="auto"/>
        <w:right w:val="none" w:sz="0" w:space="0" w:color="auto"/>
      </w:divBdr>
    </w:div>
    <w:div w:id="406416362">
      <w:bodyDiv w:val="1"/>
      <w:marLeft w:val="0"/>
      <w:marRight w:val="0"/>
      <w:marTop w:val="0"/>
      <w:marBottom w:val="0"/>
      <w:divBdr>
        <w:top w:val="none" w:sz="0" w:space="0" w:color="auto"/>
        <w:left w:val="none" w:sz="0" w:space="0" w:color="auto"/>
        <w:bottom w:val="none" w:sz="0" w:space="0" w:color="auto"/>
        <w:right w:val="none" w:sz="0" w:space="0" w:color="auto"/>
      </w:divBdr>
    </w:div>
    <w:div w:id="478039212">
      <w:bodyDiv w:val="1"/>
      <w:marLeft w:val="0"/>
      <w:marRight w:val="0"/>
      <w:marTop w:val="0"/>
      <w:marBottom w:val="0"/>
      <w:divBdr>
        <w:top w:val="none" w:sz="0" w:space="0" w:color="auto"/>
        <w:left w:val="none" w:sz="0" w:space="0" w:color="auto"/>
        <w:bottom w:val="none" w:sz="0" w:space="0" w:color="auto"/>
        <w:right w:val="none" w:sz="0" w:space="0" w:color="auto"/>
      </w:divBdr>
    </w:div>
    <w:div w:id="1043678497">
      <w:bodyDiv w:val="1"/>
      <w:marLeft w:val="0"/>
      <w:marRight w:val="0"/>
      <w:marTop w:val="0"/>
      <w:marBottom w:val="0"/>
      <w:divBdr>
        <w:top w:val="none" w:sz="0" w:space="0" w:color="auto"/>
        <w:left w:val="none" w:sz="0" w:space="0" w:color="auto"/>
        <w:bottom w:val="none" w:sz="0" w:space="0" w:color="auto"/>
        <w:right w:val="none" w:sz="0" w:space="0" w:color="auto"/>
      </w:divBdr>
    </w:div>
    <w:div w:id="1171146000">
      <w:bodyDiv w:val="1"/>
      <w:marLeft w:val="0"/>
      <w:marRight w:val="0"/>
      <w:marTop w:val="0"/>
      <w:marBottom w:val="0"/>
      <w:divBdr>
        <w:top w:val="none" w:sz="0" w:space="0" w:color="auto"/>
        <w:left w:val="none" w:sz="0" w:space="0" w:color="auto"/>
        <w:bottom w:val="none" w:sz="0" w:space="0" w:color="auto"/>
        <w:right w:val="none" w:sz="0" w:space="0" w:color="auto"/>
      </w:divBdr>
    </w:div>
    <w:div w:id="1245186650">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20112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erse.events@mf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erse.events@mft.nhs.uk" TargetMode="External"/><Relationship Id="rId4" Type="http://schemas.openxmlformats.org/officeDocument/2006/relationships/settings" Target="settings.xml"/><Relationship Id="rId9" Type="http://schemas.openxmlformats.org/officeDocument/2006/relationships/hyperlink" Target="mailto:adverse.events@mft.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C2CE-DCAA-49BF-85E1-7CFED894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5549</Words>
  <Characters>31634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Fat Boy Productions Inc.</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employee</dc:creator>
  <cp:lastModifiedBy>Underhill Suzanne (R0A) Manchester University NHS FT</cp:lastModifiedBy>
  <cp:revision>2</cp:revision>
  <cp:lastPrinted>2020-07-09T10:58:00Z</cp:lastPrinted>
  <dcterms:created xsi:type="dcterms:W3CDTF">2021-04-16T14:45:00Z</dcterms:created>
  <dcterms:modified xsi:type="dcterms:W3CDTF">2021-04-16T14:45:00Z</dcterms:modified>
</cp:coreProperties>
</file>